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sz w:val="24"/>
        </w:rPr>
      </w:pPr>
      <w:r>
        <w:rPr>
          <w:rFonts w:hint="eastAsia"/>
          <w:sz w:val="24"/>
        </w:rPr>
        <w:drawing>
          <wp:anchor distT="0" distB="0" distL="114300" distR="114300" simplePos="0" relativeHeight="251669504" behindDoc="0" locked="0" layoutInCell="1" allowOverlap="1">
            <wp:simplePos x="0" y="0"/>
            <wp:positionH relativeFrom="column">
              <wp:posOffset>-1240790</wp:posOffset>
            </wp:positionH>
            <wp:positionV relativeFrom="paragraph">
              <wp:posOffset>-963930</wp:posOffset>
            </wp:positionV>
            <wp:extent cx="7651115" cy="2409825"/>
            <wp:effectExtent l="0" t="0" r="6985" b="0"/>
            <wp:wrapNone/>
            <wp:docPr id="17529"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9" name="图片 1" descr="模板-3"/>
                    <pic:cNvPicPr>
                      <a:picLocks noChangeAspect="1"/>
                    </pic:cNvPicPr>
                  </pic:nvPicPr>
                  <pic:blipFill>
                    <a:blip r:embed="rId7"/>
                    <a:stretch>
                      <a:fillRect/>
                    </a:stretch>
                  </pic:blipFill>
                  <pic:spPr>
                    <a:xfrm>
                      <a:off x="0" y="0"/>
                      <a:ext cx="7651115" cy="2409825"/>
                    </a:xfrm>
                    <a:prstGeom prst="rect">
                      <a:avLst/>
                    </a:prstGeom>
                    <a:noFill/>
                    <a:ln>
                      <a:noFill/>
                    </a:ln>
                  </pic:spPr>
                </pic:pic>
              </a:graphicData>
            </a:graphic>
          </wp:anchor>
        </w:drawing>
      </w:r>
    </w:p>
    <w:p>
      <w:pPr>
        <w:spacing w:line="480" w:lineRule="exact"/>
        <w:rPr>
          <w:sz w:val="24"/>
        </w:rPr>
      </w:pPr>
    </w:p>
    <w:p>
      <w:pPr>
        <w:spacing w:line="480" w:lineRule="exact"/>
        <w:rPr>
          <w:sz w:val="24"/>
        </w:rPr>
      </w:pPr>
    </w:p>
    <w:p>
      <w:pPr>
        <w:spacing w:line="480" w:lineRule="exact"/>
        <w:rPr>
          <w:sz w:val="24"/>
        </w:rPr>
      </w:pPr>
    </w:p>
    <w:p>
      <w:pPr>
        <w:spacing w:line="480" w:lineRule="exact"/>
        <w:rPr>
          <w:sz w:val="24"/>
        </w:rPr>
      </w:pPr>
    </w:p>
    <w:p>
      <w:pPr>
        <w:snapToGrid w:val="0"/>
        <w:spacing w:line="312" w:lineRule="auto"/>
        <w:ind w:right="28"/>
        <w:jc w:val="center"/>
        <w:rPr>
          <w:rFonts w:eastAsia="黑体"/>
          <w:b/>
          <w:sz w:val="52"/>
          <w:szCs w:val="52"/>
        </w:rPr>
      </w:pPr>
    </w:p>
    <w:p>
      <w:pPr>
        <w:snapToGrid w:val="0"/>
        <w:spacing w:line="312" w:lineRule="auto"/>
        <w:ind w:right="28"/>
        <w:jc w:val="center"/>
        <w:rPr>
          <w:rFonts w:eastAsia="黑体"/>
          <w:b/>
          <w:sz w:val="52"/>
          <w:szCs w:val="52"/>
        </w:rPr>
      </w:pPr>
    </w:p>
    <w:p>
      <w:pPr>
        <w:pStyle w:val="19"/>
        <w:adjustRightInd w:val="0"/>
        <w:snapToGrid w:val="0"/>
        <w:ind w:firstLine="0" w:firstLineChars="0"/>
        <w:jc w:val="center"/>
        <w:rPr>
          <w:sz w:val="28"/>
          <w:szCs w:val="28"/>
          <w:lang w:val="en-US"/>
        </w:rPr>
      </w:pPr>
      <w:r>
        <w:rPr>
          <w:rFonts w:hint="eastAsia" w:ascii="宋体" w:hAnsi="宋体"/>
          <w:b/>
          <w:spacing w:val="30"/>
          <w:sz w:val="44"/>
          <w:szCs w:val="48"/>
        </w:rPr>
        <w:t>2026年花城营业厅及政务供电服务窗口运营费项目技术规范说明书</w:t>
      </w:r>
    </w:p>
    <w:p>
      <w:pPr>
        <w:pStyle w:val="19"/>
        <w:adjustRightInd w:val="0"/>
        <w:snapToGrid w:val="0"/>
        <w:ind w:firstLine="0" w:firstLineChars="0"/>
      </w:pPr>
    </w:p>
    <w:p>
      <w:pPr>
        <w:pStyle w:val="19"/>
        <w:adjustRightInd w:val="0"/>
        <w:snapToGrid w:val="0"/>
        <w:ind w:firstLine="0" w:firstLineChars="0"/>
      </w:pPr>
    </w:p>
    <w:p>
      <w:pPr>
        <w:pStyle w:val="19"/>
        <w:adjustRightInd w:val="0"/>
        <w:snapToGrid w:val="0"/>
        <w:ind w:firstLine="0" w:firstLineChars="0"/>
      </w:pPr>
    </w:p>
    <w:p>
      <w:pPr>
        <w:pStyle w:val="19"/>
        <w:adjustRightInd w:val="0"/>
        <w:snapToGrid w:val="0"/>
        <w:ind w:firstLine="0" w:firstLineChars="0"/>
      </w:pPr>
    </w:p>
    <w:p>
      <w:pPr>
        <w:pStyle w:val="19"/>
        <w:adjustRightInd w:val="0"/>
        <w:snapToGrid w:val="0"/>
        <w:ind w:firstLine="0" w:firstLineChars="0"/>
      </w:pPr>
    </w:p>
    <w:p>
      <w:pPr>
        <w:pStyle w:val="19"/>
        <w:adjustRightInd w:val="0"/>
        <w:snapToGrid w:val="0"/>
        <w:ind w:firstLine="0" w:firstLineChars="0"/>
      </w:pPr>
    </w:p>
    <w:p>
      <w:pPr>
        <w:pStyle w:val="19"/>
        <w:adjustRightInd w:val="0"/>
        <w:snapToGrid w:val="0"/>
        <w:ind w:firstLine="0" w:firstLineChars="0"/>
      </w:pPr>
    </w:p>
    <w:p>
      <w:pPr>
        <w:pStyle w:val="19"/>
        <w:adjustRightInd w:val="0"/>
        <w:snapToGrid w:val="0"/>
        <w:ind w:firstLine="0" w:firstLineChars="0"/>
      </w:pPr>
    </w:p>
    <w:p>
      <w:pPr>
        <w:pStyle w:val="19"/>
        <w:adjustRightInd w:val="0"/>
        <w:snapToGrid w:val="0"/>
        <w:ind w:firstLine="0" w:firstLineChars="0"/>
      </w:pPr>
    </w:p>
    <w:p>
      <w:pPr>
        <w:pStyle w:val="19"/>
        <w:adjustRightInd w:val="0"/>
        <w:snapToGrid w:val="0"/>
        <w:ind w:firstLine="0" w:firstLineChars="0"/>
      </w:pPr>
    </w:p>
    <w:tbl>
      <w:tblPr>
        <w:tblStyle w:val="14"/>
        <w:tblW w:w="8908" w:type="dxa"/>
        <w:jc w:val="center"/>
        <w:tblLayout w:type="fixed"/>
        <w:tblCellMar>
          <w:top w:w="0" w:type="dxa"/>
          <w:left w:w="28" w:type="dxa"/>
          <w:bottom w:w="0" w:type="dxa"/>
          <w:right w:w="28" w:type="dxa"/>
        </w:tblCellMar>
      </w:tblPr>
      <w:tblGrid>
        <w:gridCol w:w="8908"/>
      </w:tblGrid>
      <w:tr>
        <w:tblPrEx>
          <w:tblCellMar>
            <w:top w:w="0" w:type="dxa"/>
            <w:left w:w="28" w:type="dxa"/>
            <w:bottom w:w="0" w:type="dxa"/>
            <w:right w:w="28" w:type="dxa"/>
          </w:tblCellMar>
        </w:tblPrEx>
        <w:trPr>
          <w:cantSplit/>
          <w:trHeight w:val="540" w:hRule="atLeast"/>
          <w:jc w:val="center"/>
        </w:trPr>
        <w:tc>
          <w:tcPr>
            <w:tcW w:w="8908" w:type="dxa"/>
            <w:vAlign w:val="center"/>
          </w:tcPr>
          <w:p>
            <w:pPr>
              <w:spacing w:line="360" w:lineRule="auto"/>
              <w:ind w:firstLine="2823" w:firstLineChars="1339"/>
              <w:rPr>
                <w:rFonts w:hint="eastAsia" w:ascii="宋体" w:hAnsi="宋体"/>
                <w:b/>
              </w:rPr>
            </w:pPr>
          </w:p>
        </w:tc>
      </w:tr>
      <w:tr>
        <w:tblPrEx>
          <w:tblCellMar>
            <w:top w:w="0" w:type="dxa"/>
            <w:left w:w="28" w:type="dxa"/>
            <w:bottom w:w="0" w:type="dxa"/>
            <w:right w:w="28" w:type="dxa"/>
          </w:tblCellMar>
        </w:tblPrEx>
        <w:trPr>
          <w:cantSplit/>
          <w:trHeight w:val="540" w:hRule="atLeast"/>
          <w:jc w:val="center"/>
        </w:trPr>
        <w:tc>
          <w:tcPr>
            <w:tcW w:w="8908" w:type="dxa"/>
            <w:vAlign w:val="center"/>
          </w:tcPr>
          <w:p>
            <w:pPr>
              <w:spacing w:line="360" w:lineRule="auto"/>
              <w:ind w:firstLine="2823" w:firstLineChars="1339"/>
              <w:rPr>
                <w:rFonts w:hint="eastAsia" w:ascii="宋体" w:hAnsi="宋体"/>
                <w:b/>
              </w:rPr>
            </w:pPr>
          </w:p>
          <w:p>
            <w:pPr>
              <w:spacing w:line="360" w:lineRule="auto"/>
              <w:ind w:firstLine="2823" w:firstLineChars="1339"/>
              <w:rPr>
                <w:rFonts w:hint="eastAsia" w:ascii="宋体" w:hAnsi="宋体"/>
                <w:b/>
              </w:rPr>
            </w:pPr>
          </w:p>
        </w:tc>
      </w:tr>
      <w:tr>
        <w:tblPrEx>
          <w:tblCellMar>
            <w:top w:w="0" w:type="dxa"/>
            <w:left w:w="28" w:type="dxa"/>
            <w:bottom w:w="0" w:type="dxa"/>
            <w:right w:w="28" w:type="dxa"/>
          </w:tblCellMar>
        </w:tblPrEx>
        <w:trPr>
          <w:cantSplit/>
          <w:trHeight w:val="540" w:hRule="atLeast"/>
          <w:jc w:val="center"/>
        </w:trPr>
        <w:tc>
          <w:tcPr>
            <w:tcW w:w="8908" w:type="dxa"/>
            <w:vAlign w:val="center"/>
          </w:tcPr>
          <w:p>
            <w:pPr>
              <w:spacing w:line="360" w:lineRule="auto"/>
              <w:jc w:val="center"/>
              <w:rPr>
                <w:rFonts w:hint="eastAsia" w:ascii="宋体" w:hAnsi="宋体"/>
                <w:b/>
                <w:bCs/>
                <w:spacing w:val="20"/>
              </w:rPr>
            </w:pPr>
            <w:r>
              <w:rPr>
                <w:rFonts w:hint="eastAsia" w:ascii="宋体" w:hAnsi="宋体"/>
                <w:b/>
              </w:rPr>
              <w:t>广东电网有限责任公司广州供电局</w:t>
            </w:r>
          </w:p>
          <w:tbl>
            <w:tblPr>
              <w:tblStyle w:val="14"/>
              <w:tblW w:w="8908" w:type="dxa"/>
              <w:jc w:val="center"/>
              <w:tblLayout w:type="fixed"/>
              <w:tblCellMar>
                <w:top w:w="0" w:type="dxa"/>
                <w:left w:w="28" w:type="dxa"/>
                <w:bottom w:w="0" w:type="dxa"/>
                <w:right w:w="28" w:type="dxa"/>
              </w:tblCellMar>
            </w:tblPr>
            <w:tblGrid>
              <w:gridCol w:w="8908"/>
            </w:tblGrid>
            <w:tr>
              <w:tblPrEx>
                <w:tblCellMar>
                  <w:top w:w="0" w:type="dxa"/>
                  <w:left w:w="28" w:type="dxa"/>
                  <w:bottom w:w="0" w:type="dxa"/>
                  <w:right w:w="28" w:type="dxa"/>
                </w:tblCellMar>
              </w:tblPrEx>
              <w:trPr>
                <w:cantSplit/>
                <w:trHeight w:val="786" w:hRule="atLeast"/>
                <w:jc w:val="center"/>
              </w:trPr>
              <w:tc>
                <w:tcPr>
                  <w:tcW w:w="8908" w:type="dxa"/>
                  <w:vAlign w:val="center"/>
                </w:tcPr>
                <w:p>
                  <w:pPr>
                    <w:spacing w:line="360" w:lineRule="auto"/>
                    <w:jc w:val="center"/>
                    <w:rPr>
                      <w:rFonts w:hint="eastAsia" w:ascii="宋体" w:hAnsi="宋体"/>
                      <w:b/>
                      <w:bCs/>
                      <w:spacing w:val="20"/>
                    </w:rPr>
                  </w:pPr>
                  <w:r>
                    <w:rPr>
                      <w:rFonts w:hint="eastAsia" w:ascii="宋体" w:hAnsi="宋体"/>
                      <w:b/>
                      <w:bCs/>
                      <w:spacing w:val="20"/>
                    </w:rPr>
                    <w:t>二〇二五年十</w:t>
                  </w:r>
                  <w:r>
                    <w:rPr>
                      <w:rFonts w:hint="eastAsia" w:ascii="宋体" w:hAnsi="宋体"/>
                      <w:b/>
                      <w:bCs/>
                      <w:spacing w:val="20"/>
                      <w:lang w:val="en-US" w:eastAsia="zh-CN"/>
                    </w:rPr>
                    <w:t>一</w:t>
                  </w:r>
                  <w:r>
                    <w:rPr>
                      <w:rFonts w:hint="eastAsia" w:ascii="宋体" w:hAnsi="宋体"/>
                      <w:b/>
                      <w:bCs/>
                      <w:spacing w:val="20"/>
                    </w:rPr>
                    <w:t>月</w:t>
                  </w:r>
                </w:p>
              </w:tc>
            </w:tr>
          </w:tbl>
          <w:p>
            <w:pPr>
              <w:spacing w:line="360" w:lineRule="auto"/>
              <w:rPr>
                <w:rFonts w:hint="eastAsia" w:ascii="宋体" w:hAnsi="宋体"/>
                <w:b/>
                <w:bCs/>
              </w:rPr>
            </w:pPr>
          </w:p>
        </w:tc>
      </w:tr>
    </w:tbl>
    <w:p>
      <w:pPr>
        <w:jc w:val="center"/>
        <w:rPr>
          <w:rFonts w:hint="eastAsia" w:ascii="宋体" w:hAnsi="宋体" w:eastAsia="宋体"/>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rPr>
        <w:id w:val="147455837"/>
        <w:docPartObj>
          <w:docPartGallery w:val="Table of Contents"/>
          <w:docPartUnique/>
        </w:docPartObj>
      </w:sdtPr>
      <w:sdtEndPr>
        <w:rPr>
          <w:rFonts w:ascii="宋体" w:hAnsi="宋体" w:eastAsia="宋体"/>
        </w:rPr>
      </w:sdtEndPr>
      <w:sdtContent>
        <w:p>
          <w:pPr>
            <w:jc w:val="center"/>
            <w:rPr>
              <w:b/>
              <w:bCs/>
              <w:sz w:val="20"/>
              <w:szCs w:val="20"/>
            </w:rPr>
          </w:pPr>
          <w:r>
            <w:rPr>
              <w:rFonts w:ascii="宋体" w:hAnsi="宋体" w:eastAsia="宋体"/>
              <w:b/>
              <w:bCs/>
              <w:sz w:val="20"/>
              <w:szCs w:val="20"/>
            </w:rPr>
            <w:t>目录</w:t>
          </w:r>
        </w:p>
        <w:p>
          <w:pPr>
            <w:pStyle w:val="12"/>
            <w:tabs>
              <w:tab w:val="right" w:leader="dot" w:pos="8306"/>
            </w:tabs>
            <w:ind w:left="0" w:leftChars="0"/>
            <w:rPr>
              <w:b/>
              <w:bCs/>
              <w:sz w:val="20"/>
              <w:szCs w:val="20"/>
            </w:rPr>
          </w:pPr>
          <w:r>
            <w:fldChar w:fldCharType="begin"/>
          </w:r>
          <w:r>
            <w:instrText xml:space="preserve">TOC \o "1-2" \h \u</w:instrText>
          </w:r>
          <w:r>
            <w:rPr>
              <w:b/>
              <w:bCs/>
              <w:sz w:val="20"/>
              <w:szCs w:val="20"/>
            </w:rPr>
            <w:fldChar w:fldCharType="separate"/>
          </w:r>
          <w:r>
            <w:fldChar w:fldCharType="begin"/>
          </w:r>
          <w:r>
            <w:instrText xml:space="preserve"> HYPERLINK \l "_Toc32756" </w:instrText>
          </w:r>
          <w:r>
            <w:fldChar w:fldCharType="separate"/>
          </w:r>
          <w:r>
            <w:rPr>
              <w:rFonts w:hint="eastAsia" w:ascii="宋体" w:eastAsia="宋体" w:cs="Times New Roman"/>
              <w:b/>
              <w:bCs/>
              <w:kern w:val="44"/>
              <w:sz w:val="20"/>
              <w:szCs w:val="20"/>
            </w:rPr>
            <w:t>一、</w:t>
          </w:r>
          <w:r>
            <w:rPr>
              <w:rFonts w:hint="eastAsia" w:ascii="宋体" w:hAnsi="宋体" w:eastAsia="宋体" w:cs="Times New Roman"/>
              <w:b/>
              <w:bCs/>
              <w:kern w:val="44"/>
              <w:sz w:val="20"/>
              <w:szCs w:val="20"/>
            </w:rPr>
            <w:t>项目描述</w:t>
          </w:r>
          <w:r>
            <w:rPr>
              <w:b/>
              <w:bCs/>
              <w:sz w:val="20"/>
              <w:szCs w:val="20"/>
            </w:rPr>
            <w:tab/>
          </w:r>
          <w:r>
            <w:rPr>
              <w:b/>
              <w:bCs/>
              <w:sz w:val="20"/>
              <w:szCs w:val="20"/>
            </w:rPr>
            <w:fldChar w:fldCharType="begin"/>
          </w:r>
          <w:r>
            <w:rPr>
              <w:b/>
              <w:bCs/>
              <w:sz w:val="20"/>
              <w:szCs w:val="20"/>
            </w:rPr>
            <w:instrText xml:space="preserve"> PAGEREF _Toc32756 \h </w:instrText>
          </w:r>
          <w:r>
            <w:rPr>
              <w:b/>
              <w:bCs/>
              <w:sz w:val="20"/>
              <w:szCs w:val="20"/>
            </w:rPr>
            <w:fldChar w:fldCharType="separate"/>
          </w:r>
          <w:r>
            <w:rPr>
              <w:b/>
              <w:bCs/>
              <w:sz w:val="20"/>
              <w:szCs w:val="20"/>
            </w:rPr>
            <w:t>2</w:t>
          </w:r>
          <w:r>
            <w:rPr>
              <w:b/>
              <w:bCs/>
              <w:sz w:val="20"/>
              <w:szCs w:val="20"/>
            </w:rPr>
            <w:fldChar w:fldCharType="end"/>
          </w:r>
          <w:r>
            <w:rPr>
              <w:b/>
              <w:bCs/>
              <w:sz w:val="20"/>
              <w:szCs w:val="20"/>
            </w:rPr>
            <w:fldChar w:fldCharType="end"/>
          </w:r>
        </w:p>
        <w:p>
          <w:pPr>
            <w:pStyle w:val="11"/>
            <w:tabs>
              <w:tab w:val="right" w:leader="dot" w:pos="8306"/>
            </w:tabs>
            <w:rPr>
              <w:b/>
              <w:bCs/>
              <w:sz w:val="20"/>
              <w:szCs w:val="20"/>
            </w:rPr>
          </w:pPr>
          <w:r>
            <w:fldChar w:fldCharType="begin"/>
          </w:r>
          <w:r>
            <w:instrText xml:space="preserve"> HYPERLINK \l "_Toc5054" </w:instrText>
          </w:r>
          <w:r>
            <w:fldChar w:fldCharType="separate"/>
          </w:r>
          <w:r>
            <w:rPr>
              <w:rFonts w:hint="eastAsia"/>
              <w:b/>
              <w:bCs/>
              <w:sz w:val="20"/>
              <w:szCs w:val="20"/>
            </w:rPr>
            <w:t xml:space="preserve">二、 </w:t>
          </w:r>
          <w:r>
            <w:rPr>
              <w:rFonts w:hint="eastAsia" w:ascii="宋体" w:hAnsi="宋体" w:eastAsia="宋体" w:cs="Times New Roman"/>
              <w:b/>
              <w:bCs/>
              <w:sz w:val="20"/>
              <w:szCs w:val="20"/>
            </w:rPr>
            <w:t>项目工作内容</w:t>
          </w:r>
          <w:r>
            <w:rPr>
              <w:b/>
              <w:bCs/>
              <w:sz w:val="20"/>
              <w:szCs w:val="20"/>
            </w:rPr>
            <w:tab/>
          </w:r>
          <w:r>
            <w:rPr>
              <w:b/>
              <w:bCs/>
              <w:sz w:val="20"/>
              <w:szCs w:val="20"/>
            </w:rPr>
            <w:fldChar w:fldCharType="begin"/>
          </w:r>
          <w:r>
            <w:rPr>
              <w:b/>
              <w:bCs/>
              <w:sz w:val="20"/>
              <w:szCs w:val="20"/>
            </w:rPr>
            <w:instrText xml:space="preserve"> PAGEREF _Toc5054 \h </w:instrText>
          </w:r>
          <w:r>
            <w:rPr>
              <w:b/>
              <w:bCs/>
              <w:sz w:val="20"/>
              <w:szCs w:val="20"/>
            </w:rPr>
            <w:fldChar w:fldCharType="separate"/>
          </w:r>
          <w:r>
            <w:rPr>
              <w:b/>
              <w:bCs/>
              <w:sz w:val="20"/>
              <w:szCs w:val="20"/>
            </w:rPr>
            <w:t>3</w:t>
          </w:r>
          <w:r>
            <w:rPr>
              <w:b/>
              <w:bCs/>
              <w:sz w:val="20"/>
              <w:szCs w:val="20"/>
            </w:rPr>
            <w:fldChar w:fldCharType="end"/>
          </w:r>
          <w:r>
            <w:rPr>
              <w:b/>
              <w:bCs/>
              <w:sz w:val="20"/>
              <w:szCs w:val="20"/>
            </w:rPr>
            <w:fldChar w:fldCharType="end"/>
          </w:r>
        </w:p>
        <w:p>
          <w:pPr>
            <w:pStyle w:val="11"/>
            <w:tabs>
              <w:tab w:val="right" w:leader="dot" w:pos="8306"/>
            </w:tabs>
            <w:rPr>
              <w:b/>
              <w:bCs/>
              <w:sz w:val="20"/>
              <w:szCs w:val="20"/>
            </w:rPr>
          </w:pPr>
          <w:r>
            <w:fldChar w:fldCharType="begin"/>
          </w:r>
          <w:r>
            <w:instrText xml:space="preserve"> HYPERLINK \l "_Toc8942" </w:instrText>
          </w:r>
          <w:r>
            <w:fldChar w:fldCharType="separate"/>
          </w:r>
          <w:r>
            <w:rPr>
              <w:rFonts w:hint="eastAsia" w:ascii="宋体" w:hAnsi="宋体" w:eastAsia="宋体" w:cs="Times New Roman"/>
              <w:b/>
              <w:bCs/>
              <w:sz w:val="20"/>
              <w:szCs w:val="20"/>
            </w:rPr>
            <w:t>三、 项目要求</w:t>
          </w:r>
          <w:r>
            <w:rPr>
              <w:b/>
              <w:bCs/>
              <w:sz w:val="20"/>
              <w:szCs w:val="20"/>
            </w:rPr>
            <w:tab/>
          </w:r>
          <w:r>
            <w:rPr>
              <w:b/>
              <w:bCs/>
              <w:sz w:val="20"/>
              <w:szCs w:val="20"/>
            </w:rPr>
            <w:fldChar w:fldCharType="begin"/>
          </w:r>
          <w:r>
            <w:rPr>
              <w:b/>
              <w:bCs/>
              <w:sz w:val="20"/>
              <w:szCs w:val="20"/>
            </w:rPr>
            <w:instrText xml:space="preserve"> PAGEREF _Toc8942 \h </w:instrText>
          </w:r>
          <w:r>
            <w:rPr>
              <w:b/>
              <w:bCs/>
              <w:sz w:val="20"/>
              <w:szCs w:val="20"/>
            </w:rPr>
            <w:fldChar w:fldCharType="separate"/>
          </w:r>
          <w:r>
            <w:rPr>
              <w:b/>
              <w:bCs/>
              <w:sz w:val="20"/>
              <w:szCs w:val="20"/>
            </w:rPr>
            <w:t>4</w:t>
          </w:r>
          <w:r>
            <w:rPr>
              <w:b/>
              <w:bCs/>
              <w:sz w:val="20"/>
              <w:szCs w:val="20"/>
            </w:rPr>
            <w:fldChar w:fldCharType="end"/>
          </w:r>
          <w:r>
            <w:rPr>
              <w:b/>
              <w:bCs/>
              <w:sz w:val="20"/>
              <w:szCs w:val="20"/>
            </w:rPr>
            <w:fldChar w:fldCharType="end"/>
          </w:r>
        </w:p>
        <w:p>
          <w:pPr>
            <w:pStyle w:val="12"/>
            <w:tabs>
              <w:tab w:val="right" w:leader="dot" w:pos="8306"/>
            </w:tabs>
            <w:rPr>
              <w:b/>
              <w:bCs/>
              <w:sz w:val="20"/>
              <w:szCs w:val="20"/>
            </w:rPr>
          </w:pPr>
          <w:r>
            <w:fldChar w:fldCharType="begin"/>
          </w:r>
          <w:r>
            <w:instrText xml:space="preserve"> HYPERLINK \l "_Toc22566" </w:instrText>
          </w:r>
          <w:r>
            <w:fldChar w:fldCharType="separate"/>
          </w:r>
          <w:r>
            <w:rPr>
              <w:rFonts w:hint="eastAsia" w:ascii="宋体" w:hAnsi="宋体" w:eastAsia="宋体" w:cs="Times New Roman"/>
              <w:b/>
              <w:bCs/>
              <w:sz w:val="20"/>
              <w:szCs w:val="20"/>
            </w:rPr>
            <w:t>（一）团队管理要求</w:t>
          </w:r>
          <w:r>
            <w:rPr>
              <w:b/>
              <w:bCs/>
              <w:sz w:val="20"/>
              <w:szCs w:val="20"/>
            </w:rPr>
            <w:tab/>
          </w:r>
          <w:r>
            <w:rPr>
              <w:b/>
              <w:bCs/>
              <w:sz w:val="20"/>
              <w:szCs w:val="20"/>
            </w:rPr>
            <w:fldChar w:fldCharType="begin"/>
          </w:r>
          <w:r>
            <w:rPr>
              <w:b/>
              <w:bCs/>
              <w:sz w:val="20"/>
              <w:szCs w:val="20"/>
            </w:rPr>
            <w:instrText xml:space="preserve"> PAGEREF _Toc22566 \h </w:instrText>
          </w:r>
          <w:r>
            <w:rPr>
              <w:b/>
              <w:bCs/>
              <w:sz w:val="20"/>
              <w:szCs w:val="20"/>
            </w:rPr>
            <w:fldChar w:fldCharType="separate"/>
          </w:r>
          <w:r>
            <w:rPr>
              <w:b/>
              <w:bCs/>
              <w:sz w:val="20"/>
              <w:szCs w:val="20"/>
            </w:rPr>
            <w:t>4</w:t>
          </w:r>
          <w:r>
            <w:rPr>
              <w:b/>
              <w:bCs/>
              <w:sz w:val="20"/>
              <w:szCs w:val="20"/>
            </w:rPr>
            <w:fldChar w:fldCharType="end"/>
          </w:r>
          <w:r>
            <w:rPr>
              <w:b/>
              <w:bCs/>
              <w:sz w:val="20"/>
              <w:szCs w:val="20"/>
            </w:rPr>
            <w:fldChar w:fldCharType="end"/>
          </w:r>
        </w:p>
        <w:p>
          <w:pPr>
            <w:pStyle w:val="12"/>
            <w:tabs>
              <w:tab w:val="right" w:leader="dot" w:pos="8306"/>
            </w:tabs>
            <w:rPr>
              <w:b/>
              <w:bCs/>
              <w:sz w:val="20"/>
              <w:szCs w:val="20"/>
            </w:rPr>
          </w:pPr>
          <w:r>
            <w:fldChar w:fldCharType="begin"/>
          </w:r>
          <w:r>
            <w:instrText xml:space="preserve"> HYPERLINK \l "_Toc2265" </w:instrText>
          </w:r>
          <w:r>
            <w:fldChar w:fldCharType="separate"/>
          </w:r>
          <w:r>
            <w:rPr>
              <w:rFonts w:hint="eastAsia" w:ascii="宋体" w:hAnsi="宋体" w:eastAsia="宋体" w:cs="Times New Roman"/>
              <w:b/>
              <w:bCs/>
              <w:sz w:val="20"/>
              <w:szCs w:val="20"/>
            </w:rPr>
            <w:t>（二）业务管理要求</w:t>
          </w:r>
          <w:r>
            <w:rPr>
              <w:b/>
              <w:bCs/>
              <w:sz w:val="20"/>
              <w:szCs w:val="20"/>
            </w:rPr>
            <w:tab/>
          </w:r>
          <w:r>
            <w:rPr>
              <w:b/>
              <w:bCs/>
              <w:sz w:val="20"/>
              <w:szCs w:val="20"/>
            </w:rPr>
            <w:fldChar w:fldCharType="begin"/>
          </w:r>
          <w:r>
            <w:rPr>
              <w:b/>
              <w:bCs/>
              <w:sz w:val="20"/>
              <w:szCs w:val="20"/>
            </w:rPr>
            <w:instrText xml:space="preserve"> PAGEREF _Toc2265 \h </w:instrText>
          </w:r>
          <w:r>
            <w:rPr>
              <w:b/>
              <w:bCs/>
              <w:sz w:val="20"/>
              <w:szCs w:val="20"/>
            </w:rPr>
            <w:fldChar w:fldCharType="separate"/>
          </w:r>
          <w:r>
            <w:rPr>
              <w:b/>
              <w:bCs/>
              <w:sz w:val="20"/>
              <w:szCs w:val="20"/>
            </w:rPr>
            <w:t>7</w:t>
          </w:r>
          <w:r>
            <w:rPr>
              <w:b/>
              <w:bCs/>
              <w:sz w:val="20"/>
              <w:szCs w:val="20"/>
            </w:rPr>
            <w:fldChar w:fldCharType="end"/>
          </w:r>
          <w:r>
            <w:rPr>
              <w:b/>
              <w:bCs/>
              <w:sz w:val="20"/>
              <w:szCs w:val="20"/>
            </w:rPr>
            <w:fldChar w:fldCharType="end"/>
          </w:r>
        </w:p>
        <w:p>
          <w:pPr>
            <w:pStyle w:val="11"/>
            <w:tabs>
              <w:tab w:val="right" w:leader="dot" w:pos="8306"/>
            </w:tabs>
            <w:rPr>
              <w:b/>
              <w:bCs/>
              <w:sz w:val="20"/>
              <w:szCs w:val="20"/>
            </w:rPr>
          </w:pPr>
          <w:r>
            <w:fldChar w:fldCharType="begin"/>
          </w:r>
          <w:r>
            <w:instrText xml:space="preserve"> HYPERLINK \l "_Toc23450" </w:instrText>
          </w:r>
          <w:r>
            <w:fldChar w:fldCharType="separate"/>
          </w:r>
          <w:r>
            <w:rPr>
              <w:rFonts w:hint="eastAsia" w:ascii="宋体" w:hAnsi="宋体" w:eastAsia="宋体" w:cs="Times New Roman"/>
              <w:b/>
              <w:bCs/>
              <w:sz w:val="20"/>
              <w:szCs w:val="20"/>
            </w:rPr>
            <w:t>四、 服务评价</w:t>
          </w:r>
          <w:r>
            <w:rPr>
              <w:b/>
              <w:bCs/>
              <w:sz w:val="20"/>
              <w:szCs w:val="20"/>
            </w:rPr>
            <w:tab/>
          </w:r>
          <w:r>
            <w:rPr>
              <w:b/>
              <w:bCs/>
              <w:sz w:val="20"/>
              <w:szCs w:val="20"/>
            </w:rPr>
            <w:fldChar w:fldCharType="begin"/>
          </w:r>
          <w:r>
            <w:rPr>
              <w:b/>
              <w:bCs/>
              <w:sz w:val="20"/>
              <w:szCs w:val="20"/>
            </w:rPr>
            <w:instrText xml:space="preserve"> PAGEREF _Toc23450 \h </w:instrText>
          </w:r>
          <w:r>
            <w:rPr>
              <w:b/>
              <w:bCs/>
              <w:sz w:val="20"/>
              <w:szCs w:val="20"/>
            </w:rPr>
            <w:fldChar w:fldCharType="separate"/>
          </w:r>
          <w:r>
            <w:rPr>
              <w:b/>
              <w:bCs/>
              <w:sz w:val="20"/>
              <w:szCs w:val="20"/>
            </w:rPr>
            <w:t>7</w:t>
          </w:r>
          <w:r>
            <w:rPr>
              <w:b/>
              <w:bCs/>
              <w:sz w:val="20"/>
              <w:szCs w:val="20"/>
            </w:rPr>
            <w:fldChar w:fldCharType="end"/>
          </w:r>
          <w:r>
            <w:rPr>
              <w:b/>
              <w:bCs/>
              <w:sz w:val="20"/>
              <w:szCs w:val="20"/>
            </w:rPr>
            <w:fldChar w:fldCharType="end"/>
          </w:r>
        </w:p>
        <w:p>
          <w:pPr>
            <w:pStyle w:val="11"/>
            <w:tabs>
              <w:tab w:val="right" w:leader="dot" w:pos="8306"/>
            </w:tabs>
            <w:rPr>
              <w:b/>
              <w:bCs/>
              <w:sz w:val="20"/>
              <w:szCs w:val="20"/>
            </w:rPr>
          </w:pPr>
          <w:r>
            <w:fldChar w:fldCharType="begin"/>
          </w:r>
          <w:r>
            <w:instrText xml:space="preserve"> HYPERLINK \l "_Toc29434" </w:instrText>
          </w:r>
          <w:r>
            <w:fldChar w:fldCharType="separate"/>
          </w:r>
          <w:r>
            <w:rPr>
              <w:rFonts w:hint="eastAsia" w:ascii="宋体" w:hAnsi="宋体"/>
              <w:b/>
              <w:bCs/>
              <w:sz w:val="20"/>
              <w:szCs w:val="20"/>
            </w:rPr>
            <w:t>服务考核办法</w:t>
          </w:r>
          <w:r>
            <w:rPr>
              <w:b/>
              <w:bCs/>
              <w:sz w:val="20"/>
              <w:szCs w:val="20"/>
            </w:rPr>
            <w:tab/>
          </w:r>
          <w:r>
            <w:rPr>
              <w:b/>
              <w:bCs/>
              <w:sz w:val="20"/>
              <w:szCs w:val="20"/>
            </w:rPr>
            <w:fldChar w:fldCharType="begin"/>
          </w:r>
          <w:r>
            <w:rPr>
              <w:b/>
              <w:bCs/>
              <w:sz w:val="20"/>
              <w:szCs w:val="20"/>
            </w:rPr>
            <w:instrText xml:space="preserve"> PAGEREF _Toc29434 \h </w:instrText>
          </w:r>
          <w:r>
            <w:rPr>
              <w:b/>
              <w:bCs/>
              <w:sz w:val="20"/>
              <w:szCs w:val="20"/>
            </w:rPr>
            <w:fldChar w:fldCharType="separate"/>
          </w:r>
          <w:r>
            <w:rPr>
              <w:b/>
              <w:bCs/>
              <w:sz w:val="20"/>
              <w:szCs w:val="20"/>
            </w:rPr>
            <w:t>9</w:t>
          </w:r>
          <w:r>
            <w:rPr>
              <w:b/>
              <w:bCs/>
              <w:sz w:val="20"/>
              <w:szCs w:val="20"/>
            </w:rPr>
            <w:fldChar w:fldCharType="end"/>
          </w:r>
          <w:r>
            <w:rPr>
              <w:b/>
              <w:bCs/>
              <w:sz w:val="20"/>
              <w:szCs w:val="20"/>
            </w:rPr>
            <w:fldChar w:fldCharType="end"/>
          </w:r>
        </w:p>
        <w:p>
          <w:r>
            <w:rPr>
              <w:b/>
              <w:bCs/>
              <w:sz w:val="20"/>
              <w:szCs w:val="20"/>
            </w:rPr>
            <w:fldChar w:fldCharType="end"/>
          </w:r>
        </w:p>
      </w:sdtContent>
    </w:sdt>
    <w:p>
      <w:pPr>
        <w:rPr>
          <w:rFonts w:hint="eastAsia" w:ascii="宋体" w:hAnsi="宋体" w:eastAsia="宋体" w:cs="Times New Roman"/>
          <w:b/>
          <w:bCs/>
          <w:kern w:val="44"/>
          <w:sz w:val="24"/>
        </w:rPr>
      </w:pPr>
      <w:r>
        <w:br w:type="page"/>
      </w:r>
    </w:p>
    <w:p>
      <w:pPr>
        <w:pStyle w:val="5"/>
        <w:numPr>
          <w:ilvl w:val="0"/>
          <w:numId w:val="0"/>
        </w:numPr>
        <w:rPr>
          <w:rFonts w:hint="eastAsia" w:ascii="宋体" w:eastAsia="宋体" w:cs="Times New Roman"/>
          <w:b/>
          <w:bCs/>
          <w:kern w:val="44"/>
        </w:rPr>
      </w:pPr>
      <w:bookmarkStart w:id="0" w:name="_Toc32756"/>
      <w:r>
        <w:rPr>
          <w:rFonts w:hint="eastAsia" w:ascii="宋体" w:eastAsia="宋体" w:cs="Times New Roman"/>
          <w:b/>
          <w:bCs/>
          <w:kern w:val="44"/>
        </w:rPr>
        <w:t>一、项目描述</w:t>
      </w:r>
      <w:bookmarkEnd w:id="0"/>
    </w:p>
    <w:p>
      <w:pPr>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（一）项目内容</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为持续优化用电营商环境，打造人民更满意的供电服务门户，实现供电窗口服务提质增效，将供电服务营业厅高频低值业务及政府驻点窗口以服务辅助的形式进行外委，主要内容包括供电服务窗口非核心业务工作、自助服务引导、日常接待讲解、各渠道业务的宣传推广活动、业务提升管理及窗口日常运作等，以短平快的方式，引进更高质量的服务，为全省进一步提升核心业务能力，助力现代服务体系的快速落地和稳健提升。</w:t>
      </w:r>
      <w:r>
        <w:rPr>
          <w:rFonts w:hint="eastAsia" w:ascii="宋体" w:hAnsi="宋体" w:eastAsia="宋体" w:cs="宋体"/>
          <w:sz w:val="24"/>
          <w:highlight w:val="none"/>
        </w:rPr>
        <w:t>该项目以劳务外包方式开展</w:t>
      </w:r>
      <w:r>
        <w:rPr>
          <w:rFonts w:hint="eastAsia" w:ascii="宋体" w:hAnsi="宋体" w:eastAsia="宋体" w:cs="宋体"/>
          <w:sz w:val="24"/>
          <w:highlight w:val="none"/>
          <w:lang w:eastAsia="zh-CN"/>
        </w:rPr>
        <w:t>，</w:t>
      </w:r>
      <w:r>
        <w:rPr>
          <w:rFonts w:hint="eastAsia" w:ascii="宋体" w:hAnsi="宋体" w:eastAsia="宋体" w:cs="宋体"/>
          <w:sz w:val="24"/>
        </w:rPr>
        <w:t>主要围绕广州供电局供电营业厅服务窗口及政务供电服务窗口开展实施。</w:t>
      </w:r>
      <w:bookmarkStart w:id="9" w:name="_GoBack"/>
      <w:bookmarkEnd w:id="9"/>
    </w:p>
    <w:p>
      <w:pPr>
        <w:keepNext/>
        <w:widowControl/>
        <w:adjustRightInd w:val="0"/>
        <w:ind w:firstLine="482" w:firstLineChars="200"/>
        <w:textAlignment w:val="baseline"/>
        <w:rPr>
          <w:rFonts w:hint="eastAsia" w:ascii="宋体" w:hAnsi="宋体" w:eastAsia="宋体" w:cs="Times New Roman"/>
          <w:b/>
          <w:bCs/>
          <w:sz w:val="24"/>
        </w:rPr>
      </w:pPr>
      <w:r>
        <w:rPr>
          <w:rFonts w:hint="eastAsia" w:ascii="宋体" w:hAnsi="宋体" w:eastAsia="宋体" w:cs="Times New Roman"/>
          <w:b/>
          <w:bCs/>
          <w:sz w:val="24"/>
        </w:rPr>
        <w:t>具体业务内容为：</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（1）开展花城营业厅及政务供电服务窗口运营，服务渠道推广、供电服务信息公开、自助服务引导、电网品牌宣传、多元服务推广、服务引导及咨询、查询与办理；</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（2）“南网在线”及营业厅设备终端的故障反馈；</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（3）营业信息收集与整理、服务信息统计；</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（4）供电服务信息公开，停电信息发布，大负荷期间预警信息发布；</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此外，该项目中标单位还具有人力资源开发、人事管理、办公用品配备、工作服制作以及其他工作业务提升管理等作为本项目业务内容组成部分。供电服务营业厅窗口服务时间可根据南网公司的要求对外服务时间进行适当调整，在广州市的各区（市）的政府服务</w:t>
      </w:r>
      <w:r>
        <w:rPr>
          <w:rFonts w:hint="eastAsia" w:ascii="宋体" w:hAnsi="宋体" w:eastAsia="宋体" w:cs="宋体"/>
          <w:sz w:val="24"/>
          <w:lang w:val="en-US" w:eastAsia="zh-CN"/>
        </w:rPr>
        <w:t>场所</w:t>
      </w:r>
      <w:r>
        <w:rPr>
          <w:rFonts w:hint="eastAsia" w:ascii="宋体" w:hAnsi="宋体" w:eastAsia="宋体" w:cs="宋体"/>
          <w:sz w:val="24"/>
        </w:rPr>
        <w:t>开设供电服务窗口，服务时间参照驻点的对外服务时间。项目需提供增值税发票。</w:t>
      </w:r>
    </w:p>
    <w:p>
      <w:pPr>
        <w:keepNext/>
        <w:widowControl/>
        <w:adjustRightInd w:val="0"/>
        <w:ind w:firstLine="482" w:firstLineChars="200"/>
        <w:textAlignment w:val="baseline"/>
        <w:rPr>
          <w:rFonts w:hint="eastAsia" w:ascii="宋体" w:hAnsi="宋体" w:eastAsia="宋体" w:cs="Times New Roman"/>
          <w:b/>
          <w:bCs/>
          <w:sz w:val="24"/>
        </w:rPr>
      </w:pPr>
      <w:r>
        <w:rPr>
          <w:rFonts w:hint="eastAsia" w:ascii="宋体" w:hAnsi="宋体" w:eastAsia="宋体" w:cs="Times New Roman"/>
          <w:b/>
          <w:bCs/>
          <w:sz w:val="24"/>
        </w:rPr>
        <w:t>项目实施范围：</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负责对广州供电局花城营业厅及政务供电服务窗口提供相关支撑服务。具体进驻安排，应参照前期试点营业厅的延续使用情况及政务供电服务窗口数量执行。后续驻点调整，须报经上一级单位（部门）审批同意后方可实施。</w:t>
      </w:r>
    </w:p>
    <w:p>
      <w:pPr>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（二）项目说明</w:t>
      </w:r>
    </w:p>
    <w:p>
      <w:pPr>
        <w:spacing w:line="360" w:lineRule="auto"/>
        <w:ind w:firstLine="480" w:firstLineChars="200"/>
        <w:rPr>
          <w:rFonts w:hint="eastAsia" w:ascii="宋体" w:hAnsi="宋体" w:eastAsia="宋体" w:cs="Times New Roman"/>
          <w:sz w:val="24"/>
        </w:rPr>
      </w:pPr>
      <w:r>
        <w:rPr>
          <w:rFonts w:hint="eastAsia" w:ascii="宋体" w:hAnsi="宋体" w:eastAsia="宋体" w:cs="宋体"/>
          <w:sz w:val="24"/>
        </w:rPr>
        <w:t>自合同签订之日起至2026年12月31日。</w:t>
      </w:r>
      <w:bookmarkStart w:id="1" w:name="_Toc48229607"/>
    </w:p>
    <w:p>
      <w:pPr>
        <w:numPr>
          <w:ilvl w:val="0"/>
          <w:numId w:val="2"/>
        </w:numPr>
        <w:spacing w:line="360" w:lineRule="auto"/>
        <w:contextualSpacing/>
        <w:outlineLvl w:val="0"/>
      </w:pPr>
      <w:bookmarkStart w:id="2" w:name="_Toc5054"/>
      <w:r>
        <w:rPr>
          <w:rFonts w:hint="eastAsia" w:ascii="宋体" w:hAnsi="宋体" w:eastAsia="宋体" w:cs="Times New Roman"/>
          <w:b/>
          <w:bCs/>
          <w:sz w:val="24"/>
        </w:rPr>
        <w:t>项目工作内容</w:t>
      </w:r>
      <w:bookmarkEnd w:id="1"/>
      <w:bookmarkEnd w:id="2"/>
    </w:p>
    <w:p>
      <w:pPr>
        <w:numPr>
          <w:ilvl w:val="0"/>
          <w:numId w:val="0"/>
        </w:numPr>
        <w:spacing w:line="360" w:lineRule="auto"/>
        <w:contextualSpacing/>
        <w:rPr>
          <w:rFonts w:hint="eastAsia" w:ascii="宋体" w:hAnsi="宋体" w:eastAsia="宋体" w:cs="Times New Roman"/>
          <w:sz w:val="24"/>
        </w:rPr>
      </w:pPr>
      <w:r>
        <w:rPr>
          <w:rFonts w:hint="eastAsia" w:ascii="宋体" w:hAnsi="宋体" w:eastAsia="宋体" w:cs="Times New Roman"/>
          <w:sz w:val="24"/>
        </w:rPr>
        <w:t>（一）负责服务人员及相关管理人员的招聘、服务技能培训、团队建设及人事管理，确保服务质量，并保持人员团队稳定。</w:t>
      </w:r>
    </w:p>
    <w:p>
      <w:pPr>
        <w:spacing w:line="360" w:lineRule="auto"/>
        <w:ind w:firstLine="480" w:firstLineChars="200"/>
        <w:contextualSpacing/>
        <w:rPr>
          <w:rFonts w:hint="eastAsia" w:ascii="宋体" w:hAnsi="宋体" w:eastAsia="宋体" w:cs="Times New Roman"/>
          <w:sz w:val="24"/>
        </w:rPr>
      </w:pPr>
      <w:r>
        <w:rPr>
          <w:rFonts w:hint="eastAsia" w:ascii="宋体" w:hAnsi="宋体" w:eastAsia="宋体" w:cs="Times New Roman"/>
          <w:sz w:val="24"/>
        </w:rPr>
        <w:t>（二）负责按照承诺的项目合作计划推进各项工作，并按照甲方要求的服务标准提供服务。</w:t>
      </w:r>
    </w:p>
    <w:p>
      <w:pPr>
        <w:spacing w:line="360" w:lineRule="auto"/>
        <w:ind w:firstLine="480" w:firstLineChars="200"/>
        <w:contextualSpacing/>
        <w:rPr>
          <w:rFonts w:hint="eastAsia" w:ascii="宋体" w:hAnsi="宋体" w:eastAsia="宋体" w:cs="Times New Roman"/>
          <w:sz w:val="24"/>
        </w:rPr>
      </w:pPr>
      <w:r>
        <w:rPr>
          <w:rFonts w:hint="eastAsia" w:ascii="宋体" w:hAnsi="宋体" w:eastAsia="宋体" w:cs="Times New Roman"/>
          <w:sz w:val="24"/>
        </w:rPr>
        <w:t>（三）负责对乙方受理的业务资料进行统一管理，及时传递至甲方归档，并按甲方要求开展指定业务的一口受理与业务受理工作。</w:t>
      </w:r>
    </w:p>
    <w:p>
      <w:pPr>
        <w:spacing w:line="360" w:lineRule="auto"/>
        <w:ind w:firstLine="480" w:firstLineChars="200"/>
        <w:contextualSpacing/>
        <w:rPr>
          <w:rFonts w:hint="eastAsia" w:ascii="宋体" w:hAnsi="宋体" w:eastAsia="宋体" w:cs="Times New Roman"/>
          <w:sz w:val="24"/>
        </w:rPr>
      </w:pPr>
      <w:r>
        <w:rPr>
          <w:rFonts w:hint="eastAsia" w:ascii="宋体" w:hAnsi="宋体" w:eastAsia="宋体" w:cs="Times New Roman"/>
          <w:sz w:val="24"/>
        </w:rPr>
        <w:t>（四）负责服务人员的日常业务及技能培训。乙方保证对于甲方提供的、已通知的、确定性的业务内容与公司文件，所有员工对外服务口径的一致性。乙方负责培训本项目的客服人员，使之符合甲方的有关服务规范要求。乙方需要根据甲方的业务发展情况和服务工作中发现的问题，及时开展业务培训与相应其他课程的培训工作。乙方需按照甲方相关的培训制度要求组织开展培训工作，并承担相应的培训费用。</w:t>
      </w:r>
    </w:p>
    <w:p>
      <w:pPr>
        <w:spacing w:line="360" w:lineRule="auto"/>
        <w:ind w:firstLine="480" w:firstLineChars="200"/>
        <w:contextualSpacing/>
        <w:rPr>
          <w:rFonts w:hint="eastAsia" w:ascii="宋体" w:hAnsi="宋体" w:eastAsia="宋体" w:cs="Times New Roman"/>
          <w:sz w:val="24"/>
        </w:rPr>
      </w:pPr>
      <w:r>
        <w:rPr>
          <w:rFonts w:hint="eastAsia" w:ascii="宋体" w:hAnsi="宋体" w:eastAsia="宋体" w:cs="Times New Roman"/>
          <w:sz w:val="24"/>
        </w:rPr>
        <w:t>（五）负责</w:t>
      </w:r>
      <w:r>
        <w:rPr>
          <w:rFonts w:hint="eastAsia" w:ascii="宋体" w:hAnsi="宋体" w:eastAsia="宋体" w:cs="宋体"/>
          <w:sz w:val="24"/>
        </w:rPr>
        <w:t>花城营业厅</w:t>
      </w:r>
      <w:r>
        <w:rPr>
          <w:rFonts w:hint="eastAsia" w:ascii="宋体" w:hAnsi="宋体" w:eastAsia="宋体" w:cs="Times New Roman"/>
          <w:sz w:val="24"/>
        </w:rPr>
        <w:t>、各区驻点政务供电服务窗口的现场管理及运营工作，及时通报运营情况。所有的过程控制与运作需符合甲方的要求，根据甲方制定的现场管理要求，编制对应的实施细则及运营管理要求，并组织实施。对于突发事件要在第一时间内通报给甲方指定的业务接口人，并按甲方规定流程处理。</w:t>
      </w:r>
    </w:p>
    <w:p>
      <w:pPr>
        <w:spacing w:line="360" w:lineRule="auto"/>
        <w:ind w:firstLine="480" w:firstLineChars="200"/>
        <w:contextualSpacing/>
        <w:rPr>
          <w:rFonts w:hint="default" w:ascii="宋体" w:hAnsi="宋体" w:eastAsia="宋体" w:cs="Times New Roman"/>
          <w:sz w:val="24"/>
          <w:highlight w:val="none"/>
          <w:lang w:val="en-US" w:eastAsia="zh-CN"/>
        </w:rPr>
      </w:pPr>
      <w:r>
        <w:rPr>
          <w:rFonts w:hint="eastAsia" w:ascii="宋体" w:hAnsi="宋体" w:eastAsia="宋体" w:cs="Times New Roman"/>
          <w:sz w:val="24"/>
        </w:rPr>
        <w:t>（六）</w:t>
      </w:r>
      <w:r>
        <w:rPr>
          <w:rFonts w:hint="eastAsia" w:ascii="宋体" w:hAnsi="宋体" w:eastAsia="宋体" w:cs="Times New Roman"/>
          <w:sz w:val="24"/>
          <w:highlight w:val="none"/>
        </w:rPr>
        <w:t>负责</w:t>
      </w:r>
      <w:r>
        <w:rPr>
          <w:rFonts w:hint="eastAsia" w:ascii="宋体" w:hAnsi="宋体" w:eastAsia="宋体" w:cs="宋体"/>
          <w:sz w:val="24"/>
          <w:highlight w:val="none"/>
        </w:rPr>
        <w:t>花城营业厅</w:t>
      </w:r>
      <w:r>
        <w:rPr>
          <w:rFonts w:hint="eastAsia" w:ascii="宋体" w:hAnsi="宋体" w:eastAsia="宋体" w:cs="Times New Roman"/>
          <w:sz w:val="24"/>
          <w:highlight w:val="none"/>
        </w:rPr>
        <w:t>日常办公用品配备、消防和安防。制定常规检查及定期检查机制，如有特殊情况立即上报，且将检查情况每月汇总提交甲方负责人。</w:t>
      </w:r>
      <w:r>
        <w:rPr>
          <w:rFonts w:hint="eastAsia" w:ascii="宋体" w:hAnsi="宋体" w:eastAsia="宋体" w:cs="Times New Roman"/>
          <w:sz w:val="24"/>
          <w:highlight w:val="none"/>
          <w:lang w:val="en-US" w:eastAsia="zh-CN"/>
        </w:rPr>
        <w:t>配合政务服务等供电服务窗口的日常及专项运营工作</w:t>
      </w:r>
    </w:p>
    <w:p>
      <w:pPr>
        <w:spacing w:line="360" w:lineRule="auto"/>
        <w:ind w:firstLine="480" w:firstLineChars="200"/>
        <w:contextualSpacing/>
        <w:rPr>
          <w:rFonts w:hint="eastAsia" w:ascii="宋体" w:hAnsi="宋体" w:eastAsia="宋体" w:cs="Times New Roman"/>
          <w:sz w:val="24"/>
        </w:rPr>
      </w:pPr>
      <w:r>
        <w:rPr>
          <w:rFonts w:hint="eastAsia" w:ascii="宋体" w:hAnsi="宋体" w:eastAsia="宋体" w:cs="Times New Roman"/>
          <w:sz w:val="24"/>
        </w:rPr>
        <w:t>（七）负责基础运营分析，并根据甲方要求，按时提供数据清单、报表（包括周报、月报、年报）、相关分析报告；向甲方开放运行、维护数据，并保证数据的真实有效性。</w:t>
      </w:r>
    </w:p>
    <w:p>
      <w:pPr>
        <w:spacing w:line="360" w:lineRule="auto"/>
        <w:ind w:firstLine="480" w:firstLineChars="200"/>
        <w:contextualSpacing/>
        <w:rPr>
          <w:rFonts w:hint="eastAsia" w:ascii="宋体" w:hAnsi="宋体" w:eastAsia="宋体" w:cs="Times New Roman"/>
          <w:sz w:val="24"/>
        </w:rPr>
      </w:pPr>
      <w:r>
        <w:rPr>
          <w:rFonts w:hint="eastAsia" w:ascii="宋体" w:hAnsi="宋体" w:eastAsia="宋体" w:cs="Times New Roman"/>
          <w:sz w:val="24"/>
        </w:rPr>
        <w:t>（八）乙方应建立完善的内部人员绩效考核体系，乙方制订各项管理制度、薪酬考核办法、组织结构规范等内容需报甲方备案，甲方有权提出修改建议。</w:t>
      </w:r>
    </w:p>
    <w:p>
      <w:pPr>
        <w:spacing w:line="360" w:lineRule="auto"/>
        <w:ind w:firstLine="480" w:firstLineChars="200"/>
        <w:contextualSpacing/>
        <w:rPr>
          <w:rFonts w:hint="eastAsia" w:ascii="宋体" w:hAnsi="宋体" w:eastAsia="宋体" w:cs="Times New Roman"/>
          <w:sz w:val="24"/>
        </w:rPr>
      </w:pPr>
      <w:r>
        <w:rPr>
          <w:rFonts w:hint="eastAsia" w:ascii="宋体" w:hAnsi="宋体" w:eastAsia="宋体" w:cs="Times New Roman"/>
          <w:sz w:val="24"/>
        </w:rPr>
        <w:t>（九）负责协助甲方进行专题业务运营，保证专题业务运营质量，提升客户满意度。</w:t>
      </w:r>
    </w:p>
    <w:p>
      <w:pPr>
        <w:spacing w:line="360" w:lineRule="auto"/>
        <w:ind w:firstLine="480" w:firstLineChars="200"/>
        <w:contextualSpacing/>
        <w:rPr>
          <w:rFonts w:hint="eastAsia" w:ascii="宋体" w:hAnsi="宋体" w:eastAsia="宋体" w:cs="Times New Roman"/>
          <w:sz w:val="24"/>
        </w:rPr>
      </w:pPr>
      <w:r>
        <w:rPr>
          <w:rFonts w:hint="eastAsia" w:ascii="宋体" w:hAnsi="宋体" w:eastAsia="宋体" w:cs="Times New Roman"/>
          <w:sz w:val="24"/>
        </w:rPr>
        <w:t>（十）负责开展受理远程渠道及其他业务办理等服务。</w:t>
      </w:r>
    </w:p>
    <w:p>
      <w:pPr>
        <w:spacing w:line="360" w:lineRule="auto"/>
        <w:ind w:firstLine="480" w:firstLineChars="200"/>
        <w:contextualSpacing/>
        <w:rPr>
          <w:rFonts w:hint="eastAsia" w:ascii="宋体" w:hAnsi="宋体" w:eastAsia="宋体" w:cs="Times New Roman"/>
          <w:sz w:val="24"/>
        </w:rPr>
      </w:pPr>
      <w:r>
        <w:rPr>
          <w:rFonts w:hint="eastAsia" w:ascii="宋体" w:hAnsi="宋体" w:eastAsia="宋体" w:cs="Times New Roman"/>
          <w:sz w:val="24"/>
        </w:rPr>
        <w:t>（十一）负责根据甲方要求策划开展相关推广宣传工作。</w:t>
      </w:r>
    </w:p>
    <w:p>
      <w:pPr>
        <w:spacing w:line="360" w:lineRule="auto"/>
        <w:ind w:firstLine="480" w:firstLineChars="200"/>
        <w:contextualSpacing/>
        <w:rPr>
          <w:rFonts w:hint="eastAsia" w:ascii="宋体" w:hAnsi="宋体" w:eastAsia="宋体" w:cs="Times New Roman"/>
          <w:sz w:val="24"/>
        </w:rPr>
      </w:pPr>
      <w:r>
        <w:rPr>
          <w:rFonts w:hint="eastAsia" w:ascii="宋体" w:hAnsi="宋体" w:eastAsia="宋体" w:cs="Times New Roman"/>
          <w:sz w:val="24"/>
        </w:rPr>
        <w:t>（十二）负责根据甲方场地、平台、综合配套资源管理规定按章使用甲方提供的场地、平台、综合配套资源。乙方人员应遵守甲方的各项规章制度，未经甲方许可，乙方人员不得使用甲方的场地、设施从事与本协议无关的事项。</w:t>
      </w:r>
    </w:p>
    <w:p>
      <w:pPr>
        <w:spacing w:line="360" w:lineRule="auto"/>
        <w:ind w:firstLine="480" w:firstLineChars="200"/>
        <w:contextualSpacing/>
        <w:rPr>
          <w:rFonts w:hint="eastAsia" w:ascii="宋体" w:hAnsi="宋体" w:eastAsia="宋体" w:cs="Times New Roman"/>
          <w:sz w:val="24"/>
        </w:rPr>
      </w:pPr>
      <w:r>
        <w:rPr>
          <w:rFonts w:hint="eastAsia" w:ascii="宋体" w:hAnsi="宋体" w:eastAsia="宋体" w:cs="Times New Roman"/>
          <w:sz w:val="24"/>
        </w:rPr>
        <w:t>（十三）负责按甲方的现场工作服的要求着装，并为服务人员配置不少于一套符合要求的工作装，费用由乙方承担。</w:t>
      </w:r>
    </w:p>
    <w:p>
      <w:pPr>
        <w:spacing w:line="360" w:lineRule="auto"/>
        <w:ind w:firstLine="480" w:firstLineChars="200"/>
        <w:contextualSpacing/>
        <w:rPr>
          <w:rFonts w:hint="eastAsia" w:ascii="宋体" w:hAnsi="宋体" w:eastAsia="宋体" w:cs="Times New Roman"/>
          <w:sz w:val="24"/>
        </w:rPr>
      </w:pPr>
      <w:r>
        <w:rPr>
          <w:rFonts w:hint="eastAsia" w:ascii="宋体" w:hAnsi="宋体" w:eastAsia="宋体" w:cs="Times New Roman"/>
          <w:sz w:val="24"/>
        </w:rPr>
        <w:t>（十四）乙方应根据甲方要求配备足够客服人员，确保服务有效性。</w:t>
      </w:r>
    </w:p>
    <w:p>
      <w:pPr>
        <w:spacing w:line="360" w:lineRule="auto"/>
        <w:ind w:firstLine="480" w:firstLineChars="200"/>
        <w:contextualSpacing/>
        <w:rPr>
          <w:rFonts w:hint="eastAsia" w:ascii="宋体" w:hAnsi="宋体" w:eastAsia="宋体" w:cs="Times New Roman"/>
          <w:sz w:val="24"/>
        </w:rPr>
      </w:pPr>
      <w:r>
        <w:rPr>
          <w:rFonts w:hint="eastAsia" w:ascii="宋体" w:hAnsi="宋体" w:eastAsia="宋体" w:cs="Times New Roman"/>
          <w:sz w:val="24"/>
        </w:rPr>
        <w:t>（十五）乙方委派的服务人员在提供服务期间，因其行为造成甲方或其他第三人的财产损失或人身伤害的，乙方应承担赔偿责任。</w:t>
      </w:r>
    </w:p>
    <w:p>
      <w:pPr>
        <w:spacing w:line="360" w:lineRule="auto"/>
        <w:ind w:firstLine="480" w:firstLineChars="200"/>
        <w:contextualSpacing/>
      </w:pPr>
      <w:r>
        <w:rPr>
          <w:rFonts w:hint="eastAsia" w:ascii="宋体" w:hAnsi="宋体" w:eastAsia="宋体" w:cs="Times New Roman"/>
          <w:sz w:val="24"/>
        </w:rPr>
        <w:t>（十六）为实现管理目标，确保履行职责，自觉接受甲方检查监督。乙方每月向甲方提供费用明细清单，并接受甲方对运营管理过程中财务账目的监督。</w:t>
      </w:r>
    </w:p>
    <w:p>
      <w:pPr>
        <w:numPr>
          <w:ilvl w:val="0"/>
          <w:numId w:val="3"/>
        </w:numPr>
        <w:spacing w:line="360" w:lineRule="auto"/>
        <w:contextualSpacing/>
        <w:outlineLvl w:val="0"/>
        <w:rPr>
          <w:rFonts w:hint="eastAsia" w:ascii="宋体" w:hAnsi="宋体" w:eastAsia="宋体" w:cs="Times New Roman"/>
          <w:b/>
          <w:bCs/>
          <w:sz w:val="24"/>
        </w:rPr>
      </w:pPr>
      <w:bookmarkStart w:id="3" w:name="_Toc8942"/>
      <w:r>
        <w:rPr>
          <w:rFonts w:hint="eastAsia" w:ascii="宋体" w:hAnsi="宋体" w:eastAsia="宋体" w:cs="Times New Roman"/>
          <w:b/>
          <w:bCs/>
          <w:sz w:val="24"/>
        </w:rPr>
        <w:t>项目要求</w:t>
      </w:r>
      <w:bookmarkEnd w:id="3"/>
    </w:p>
    <w:p>
      <w:pPr>
        <w:spacing w:line="360" w:lineRule="auto"/>
        <w:ind w:firstLine="482" w:firstLineChars="200"/>
        <w:contextualSpacing/>
        <w:outlineLvl w:val="1"/>
        <w:rPr>
          <w:rFonts w:hint="eastAsia" w:ascii="宋体" w:hAnsi="宋体" w:eastAsia="宋体" w:cs="Times New Roman"/>
          <w:b/>
          <w:bCs/>
          <w:sz w:val="24"/>
        </w:rPr>
      </w:pPr>
      <w:bookmarkStart w:id="4" w:name="_Toc22566"/>
      <w:r>
        <w:rPr>
          <w:rFonts w:hint="eastAsia" w:ascii="宋体" w:hAnsi="宋体" w:eastAsia="宋体" w:cs="Times New Roman"/>
          <w:b/>
          <w:bCs/>
          <w:sz w:val="24"/>
        </w:rPr>
        <w:t>（一）团队管理要求</w:t>
      </w:r>
      <w:bookmarkEnd w:id="4"/>
    </w:p>
    <w:p>
      <w:pPr>
        <w:spacing w:line="360" w:lineRule="auto"/>
        <w:ind w:firstLine="560"/>
        <w:contextualSpacing/>
        <w:rPr>
          <w:rFonts w:hint="eastAsia" w:ascii="宋体" w:hAnsi="宋体" w:eastAsia="宋体" w:cs="Times New Roman"/>
          <w:sz w:val="24"/>
          <w:highlight w:val="none"/>
        </w:rPr>
      </w:pPr>
      <w:r>
        <w:rPr>
          <w:rFonts w:hint="eastAsia" w:ascii="宋体" w:hAnsi="宋体" w:eastAsia="宋体" w:cs="Times New Roman"/>
          <w:sz w:val="24"/>
        </w:rPr>
        <w:t>1.该项目需乙方派驻1名项目运营负责人管理项目运营，负</w:t>
      </w:r>
      <w:r>
        <w:rPr>
          <w:rFonts w:hint="eastAsia" w:ascii="宋体" w:hAnsi="宋体" w:eastAsia="宋体" w:cs="Times New Roman"/>
          <w:sz w:val="24"/>
          <w:highlight w:val="none"/>
        </w:rPr>
        <w:t>责花城营业厅及政务服务等供电服务窗口的运营与人员管理等，做好人员调配。服务团队数量测算按辅助自助办理类业务数（自助终端+eFM查缴、打印类）、营业厅属地服务热线接听、人工办理类业务数（业扩类）、营业厅人均服务饱和量，且参照前期试点营业厅延续使用状况及驻点政务供电服务窗口数量开展测算辅助外委人数合计约为23人（客服大使19人；高级客服大使4人）。进驻人数按前期测算每区每厅所需人数进行分配，服务团队进驻后按实际工作量可合理调配。</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highlight w:val="none"/>
        </w:rPr>
        <w:t>2.项目实施期间内，发生女员工孕产等无法满足业务需求情况时，乙方需及时做好人员增补，确保满足本项目工作要求，发生的相关费用由乙方承担</w:t>
      </w:r>
      <w:r>
        <w:rPr>
          <w:rFonts w:hint="eastAsia" w:ascii="宋体" w:hAnsi="宋体" w:eastAsia="宋体" w:cs="Times New Roman"/>
          <w:sz w:val="24"/>
        </w:rPr>
        <w:t>。</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3.满足整体运营管理及应急服务需要，在满足项目服务团队基本人数要求的基础上，能调配备不少于服务窗口人员的20%的人员作为应急支撑，临时调配人员应培训后上岗，满足项目服务要求。</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4.乙方应派具备相关业务知识与技能的人员提供驻点服务；广州供电局客户服务中心可根据工作负荷，要求乙方对提供驻点服务的人员数量进行适当调整，根据人数增加或减少，对费用做适当增减。</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5.乙方委派的服务人员</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（1）客服大使</w:t>
      </w:r>
    </w:p>
    <w:p>
      <w:pPr>
        <w:spacing w:line="360" w:lineRule="auto"/>
        <w:ind w:firstLine="560"/>
        <w:contextualSpacing/>
      </w:pPr>
      <w:r>
        <w:rPr>
          <w:rFonts w:hint="eastAsia" w:ascii="宋体" w:hAnsi="宋体" w:eastAsia="宋体" w:cs="Times New Roman"/>
          <w:sz w:val="24"/>
          <w:lang w:val="en-US" w:eastAsia="zh-CN"/>
        </w:rPr>
        <w:t>供电服务</w:t>
      </w:r>
      <w:r>
        <w:rPr>
          <w:rFonts w:hint="eastAsia" w:ascii="宋体" w:hAnsi="宋体" w:eastAsia="宋体" w:cs="Times New Roman"/>
          <w:sz w:val="24"/>
        </w:rPr>
        <w:t>窗口驻点人员：需要具备大专或以上学历（其中本科人员占比不低于40%），每厅人数按实际测算分配，营业厅服务人员需覆盖咨询引导台以及服务前台窗口。</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（2）高级客服大使</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运营班长：花城营业厅及政务服务区分别设置运营班长各1人，需要具备大专或以上学历，并持有相关资质书（如客服管理师、客服管理员、大数据分析师、政务服务办事员、电工证等）；在此基础上，对具备本科学历或拥有3年及以上电力服务相关工作经验可优先录用。</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品牌宣传讲解员</w:t>
      </w:r>
      <w:r>
        <w:rPr>
          <w:rFonts w:hint="eastAsia" w:ascii="宋体" w:hAnsi="宋体" w:eastAsia="宋体" w:cs="Times New Roman"/>
          <w:sz w:val="24"/>
          <w:lang w:val="en-US" w:eastAsia="zh-CN"/>
        </w:rPr>
        <w:t>2人</w:t>
      </w:r>
      <w:r>
        <w:rPr>
          <w:rFonts w:hint="eastAsia" w:ascii="宋体" w:hAnsi="宋体" w:eastAsia="宋体" w:cs="Times New Roman"/>
          <w:sz w:val="24"/>
        </w:rPr>
        <w:t>：需具备良好的形象气质，具备较强的沟通表达能力和文稿写作能力，并持有普通话二级资格证书；在此基础上，新闻传播、播音主持等相关专业者优先，或持有普通话二级资格证（甲等）或具备1年以上电力行业品牌宣讲经验者优先考虑。</w:t>
      </w:r>
    </w:p>
    <w:p>
      <w:pPr>
        <w:spacing w:line="360" w:lineRule="auto"/>
        <w:ind w:firstLine="480" w:firstLineChars="200"/>
        <w:contextualSpacing/>
        <w:rPr>
          <w:rFonts w:hint="eastAsia" w:ascii="宋体" w:hAnsi="宋体" w:eastAsia="宋体" w:cs="Times New Roman"/>
          <w:sz w:val="24"/>
        </w:rPr>
      </w:pPr>
      <w:r>
        <w:rPr>
          <w:rFonts w:hint="eastAsia" w:ascii="宋体" w:hAnsi="宋体" w:eastAsia="宋体" w:cs="Times New Roman"/>
          <w:sz w:val="24"/>
        </w:rPr>
        <w:t>6.自本合同签订之日起，由甲方安排符合本合同约定的服务人员到甲方指定场所开展服务工作。未经甲方同意，乙方不得更换服务人员。负责委派的服务人员的岗前培训、安全教育等，保证服务人员服从甲方的工作安排。为提升项目服务质量，项目团队提升项目服务质量，项目团队以培养更专业客服人员为目标为项目成员赋能。同时，项目组构建人员优胜劣汰机制，通过拔尖选才，为项目输送优质的标准服务人员，年累计更换率不低于5%。</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7.乙方有义务加强安全管理，采取有效的技术手段和管理手段，杜绝营业安全事故，确保营业窗口的人身、财产安全。乙方委派的服务人员在提供服务期间，因其行为造成甲方或其他第三人的财产损失或人身伤害的，乙方应承担赔偿责任。</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8.乙方应承担本项目员工的工伤风险。</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9.乙方应承担本项目员工的生育风险。</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10.乙方对其服务人员的选聘、辞退及岗位的变动，须征得甲方的同意。</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11.乙方配置的人员发生劳动争议时，乙方承担法律责任。</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12.如乙方非因自身的过错而不能提供或者不能完全提供本协议项下的服务时，乙方应及时书面通知甲方，并应尽最大努力协助甲方从其他渠道获得相同或者类似的服务，同时做好人员的过渡交接，如果合同发生变更或终止时，乙方承诺不少于 80%的原服务人员平稳过至甲方的新的项目组，以确保甲方服务的有序运营。乙方非因自身过错无法提供服务，未及时通知甲方给甲方造成损失的，应承担全部赔偿责任。</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13.乙方应遵照广州市人力资源和社会保障局以及广州市社会保险基金管理局管理要求，依法按时足额支付乙方服务人员薪酬，保证其提供的服务符合本合同约定的质量和标准。负责其委派服务人员的工资、社保、福利、等待遇。</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14.乙方应保证服务团队的任何成员不得有下列行为：</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（1）行为不符合乙方提供的行为准则。</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（2）提供服务方式不当。</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（3）从事犯罪、欺诈或其他可能对甲方员工或财产造成损害的行为。</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（4）因乙方原因造成不良影响或产生舆情事件。若服务团队的任何成员有上述行为之一时，经甲方要求，乙方应立即终止该成员进入甲方服务地点的权利。</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（5）禁止</w:t>
      </w:r>
      <w:r>
        <w:rPr>
          <w:rFonts w:hint="eastAsia" w:ascii="宋体" w:hAnsi="宋体" w:eastAsia="宋体" w:cs="Times New Roman"/>
          <w:sz w:val="24"/>
          <w:lang w:eastAsia="zh-CN"/>
        </w:rPr>
        <w:t>乙方服务团队</w:t>
      </w:r>
      <w:r>
        <w:rPr>
          <w:rFonts w:hint="eastAsia" w:ascii="宋体" w:hAnsi="宋体" w:eastAsia="宋体" w:cs="Times New Roman"/>
          <w:sz w:val="24"/>
        </w:rPr>
        <w:t>成员</w:t>
      </w:r>
      <w:r>
        <w:rPr>
          <w:rFonts w:hint="eastAsia" w:ascii="宋体" w:hAnsi="宋体" w:eastAsia="宋体" w:cs="Times New Roman"/>
          <w:sz w:val="24"/>
          <w:lang w:eastAsia="zh-CN"/>
        </w:rPr>
        <w:t>未经甲方同意，</w:t>
      </w:r>
      <w:r>
        <w:rPr>
          <w:rFonts w:hint="eastAsia" w:ascii="宋体" w:hAnsi="宋体" w:eastAsia="宋体" w:cs="Times New Roman"/>
          <w:sz w:val="24"/>
        </w:rPr>
        <w:t>获取甲方数据、技术成果等商业秘密。</w:t>
      </w:r>
    </w:p>
    <w:p>
      <w:pPr>
        <w:spacing w:line="360" w:lineRule="auto"/>
        <w:ind w:firstLine="560"/>
        <w:contextualSpacing/>
        <w:rPr>
          <w:rFonts w:hint="eastAsia" w:ascii="宋体" w:hAnsi="宋体" w:eastAsia="宋体" w:cs="Times New Roman"/>
          <w:b/>
          <w:bCs/>
          <w:sz w:val="24"/>
        </w:rPr>
      </w:pPr>
      <w:r>
        <w:rPr>
          <w:rFonts w:hint="eastAsia" w:ascii="宋体" w:hAnsi="宋体" w:eastAsia="宋体" w:cs="Times New Roman"/>
          <w:sz w:val="24"/>
        </w:rPr>
        <w:t>（6）</w:t>
      </w:r>
      <w:r>
        <w:rPr>
          <w:rFonts w:hint="eastAsia" w:ascii="宋体" w:hAnsi="宋体" w:eastAsia="宋体" w:cs="Times New Roman"/>
          <w:sz w:val="24"/>
          <w:highlight w:val="none"/>
        </w:rPr>
        <w:t>禁止乙方安排在甲方从事本项目的客服人员在调离本项目服务团队后继续开展从事本项目工作内容。</w:t>
      </w:r>
    </w:p>
    <w:p>
      <w:pPr>
        <w:spacing w:line="360" w:lineRule="auto"/>
        <w:ind w:firstLine="482" w:firstLineChars="200"/>
        <w:contextualSpacing/>
        <w:outlineLvl w:val="1"/>
        <w:rPr>
          <w:rFonts w:hint="eastAsia" w:ascii="宋体" w:hAnsi="宋体" w:eastAsia="宋体" w:cs="Times New Roman"/>
          <w:b/>
          <w:bCs/>
          <w:sz w:val="24"/>
        </w:rPr>
      </w:pPr>
      <w:bookmarkStart w:id="5" w:name="_Toc2265"/>
      <w:r>
        <w:rPr>
          <w:rFonts w:hint="eastAsia" w:ascii="宋体" w:hAnsi="宋体" w:eastAsia="宋体" w:cs="Times New Roman"/>
          <w:b/>
          <w:bCs/>
          <w:sz w:val="24"/>
        </w:rPr>
        <w:t>（二）业务管理要求</w:t>
      </w:r>
      <w:bookmarkEnd w:id="5"/>
    </w:p>
    <w:p>
      <w:pPr>
        <w:spacing w:line="360" w:lineRule="auto"/>
        <w:ind w:firstLine="560"/>
        <w:contextualSpacing/>
      </w:pPr>
      <w:r>
        <w:rPr>
          <w:rFonts w:hint="eastAsia" w:ascii="宋体" w:hAnsi="宋体" w:eastAsia="宋体" w:cs="Times New Roman"/>
          <w:sz w:val="24"/>
        </w:rPr>
        <w:t>1.乙方提供的服务，必须符合双方同意的用途及国家规定的有关标准。乙方应严格按照甲方所核定的服务项目和范围提供服务，不得擅自改变该服务项目或范围。乙方应遵守甲方制定的服务及其相关业务处理流程，根据年度计划和合同目标开展业务，按时按量完成甲方要求的各项经营指标和质量考核指标。</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2.乙方保证其具备从事所约定的专业服务按照有关规定所应具备的资质、营业范围、专业人员、服务水平等条件；否则甲方有权单方解除合同，并要求乙方赔偿甲方一切相关损失。乙方应当对为本项目配置的人员进行必要的培训。</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3. 乙方应及时按甲方的要求履行本项目下的服务义务，对甲方的指令及工作指派应及时传达并确保按时完成工作任务。</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 xml:space="preserve">4.乙方需在每月第三个工作日内，向甲方提交上月业务运营分析报告。同时，对于甲方认为有必要的专项工作，乙方需按甲方要求提交专项分析报告。对本项目员工，乙方有义务按照甲方的要求并参考甲方的规章制订相应的管理规章制度予以规范，以加强管理。 </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5.乙方负责组织为甲方提供服务的人员签订服务承诺书、保密协议，确认相关服务要求。组织对本项目员工进行保密培训，并须确保人员保守甲方的商业秘密和其他保密信息。</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6.乙方有义务将供电服务体验厅、各区驻点政务供电服务窗口每月的人员流失率控制在5%以下，工作人员流失后，如不能满足甲方正常运营，乙方必须在十个工作日内将新工作人员补充到位。</w:t>
      </w:r>
    </w:p>
    <w:p>
      <w:pPr>
        <w:spacing w:line="360" w:lineRule="auto"/>
        <w:ind w:firstLine="560"/>
        <w:contextualSpacing/>
        <w:rPr>
          <w:rFonts w:hint="eastAsia" w:ascii="宋体" w:hAnsi="宋体" w:eastAsia="宋体" w:cs="Times New Roman"/>
          <w:sz w:val="24"/>
        </w:rPr>
      </w:pPr>
      <w:r>
        <w:rPr>
          <w:rFonts w:hint="eastAsia" w:ascii="宋体" w:hAnsi="宋体" w:eastAsia="宋体" w:cs="Times New Roman"/>
          <w:sz w:val="24"/>
        </w:rPr>
        <w:t>7.对提供服务所产生的各类业务档案等原始资料，乙方应严格按照甲方的有关规定，及时收集整理，并送交甲方指定部门归档，确保档案的完整性、安全性及保密性。</w:t>
      </w:r>
    </w:p>
    <w:p>
      <w:pPr>
        <w:numPr>
          <w:ilvl w:val="0"/>
          <w:numId w:val="3"/>
        </w:numPr>
        <w:spacing w:line="360" w:lineRule="auto"/>
        <w:contextualSpacing/>
        <w:outlineLvl w:val="0"/>
        <w:rPr>
          <w:rFonts w:hint="eastAsia" w:ascii="宋体" w:hAnsi="宋体" w:eastAsia="宋体" w:cs="Times New Roman"/>
          <w:b/>
          <w:bCs/>
          <w:sz w:val="24"/>
        </w:rPr>
      </w:pPr>
      <w:bookmarkStart w:id="6" w:name="_Toc6041"/>
      <w:bookmarkStart w:id="7" w:name="_Toc23450"/>
      <w:r>
        <w:rPr>
          <w:rFonts w:hint="eastAsia" w:ascii="宋体" w:hAnsi="宋体" w:eastAsia="宋体" w:cs="Times New Roman"/>
          <w:b/>
          <w:bCs/>
          <w:sz w:val="24"/>
        </w:rPr>
        <w:t>服务</w:t>
      </w:r>
      <w:bookmarkEnd w:id="6"/>
      <w:bookmarkEnd w:id="7"/>
      <w:r>
        <w:rPr>
          <w:rFonts w:hint="eastAsia" w:ascii="宋体" w:hAnsi="宋体" w:eastAsia="宋体" w:cs="Times New Roman"/>
          <w:b/>
          <w:bCs/>
          <w:sz w:val="24"/>
        </w:rPr>
        <w:t>质量</w:t>
      </w:r>
    </w:p>
    <w:p>
      <w:pPr>
        <w:numPr>
          <w:ilvl w:val="0"/>
          <w:numId w:val="4"/>
        </w:numPr>
        <w:spacing w:line="360" w:lineRule="auto"/>
        <w:ind w:firstLine="560"/>
        <w:contextualSpacing/>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 xml:space="preserve">甲方根据抽查、定期检查、视频监控等方式对乙方服务质量进行考核。根据乙方服务不及时或服务失误的影响或损失程度，每月末按照《服务考核办法》进行评价，在结算时扣除对应考核费用。 </w:t>
      </w:r>
    </w:p>
    <w:p>
      <w:pPr>
        <w:numPr>
          <w:ilvl w:val="0"/>
          <w:numId w:val="5"/>
        </w:numPr>
        <w:spacing w:line="360" w:lineRule="auto"/>
        <w:contextualSpacing/>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 xml:space="preserve">如果每月末《服务考核办法》评价总分高于或等于90分，则根据合同约定的结算金额100%结算； </w:t>
      </w:r>
    </w:p>
    <w:p>
      <w:pPr>
        <w:numPr>
          <w:ilvl w:val="0"/>
          <w:numId w:val="5"/>
        </w:numPr>
        <w:spacing w:line="360" w:lineRule="auto"/>
        <w:contextualSpacing/>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如果每月末《服务考核办法》评价总分文85-90分，则根据合同约定的结算金额的99.5%结算；</w:t>
      </w:r>
    </w:p>
    <w:p>
      <w:pPr>
        <w:numPr>
          <w:ilvl w:val="0"/>
          <w:numId w:val="5"/>
        </w:numPr>
        <w:spacing w:line="360" w:lineRule="auto"/>
        <w:contextualSpacing/>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如果每月末《服务考核办法》评价总分为80-85分，则根据合同约定的结算金额的99.0%结算；</w:t>
      </w:r>
    </w:p>
    <w:p>
      <w:pPr>
        <w:numPr>
          <w:ilvl w:val="0"/>
          <w:numId w:val="5"/>
        </w:numPr>
        <w:spacing w:line="360" w:lineRule="auto"/>
        <w:contextualSpacing/>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如果每月末《服务考核办法》评价总分为低于80分，则根据合同约定的结算金额的95.0%结算。</w:t>
      </w:r>
    </w:p>
    <w:p>
      <w:pPr>
        <w:numPr>
          <w:ilvl w:val="0"/>
          <w:numId w:val="4"/>
        </w:numPr>
        <w:spacing w:line="360" w:lineRule="auto"/>
        <w:ind w:firstLine="560"/>
        <w:contextualSpacing/>
        <w:rPr>
          <w:rFonts w:hint="eastAsia" w:ascii="宋体" w:hAnsi="宋体" w:eastAsia="宋体" w:cs="Times New Roman"/>
          <w:color w:val="auto"/>
          <w:sz w:val="24"/>
        </w:rPr>
      </w:pPr>
      <w:r>
        <w:rPr>
          <w:rFonts w:hint="eastAsia" w:ascii="宋体" w:hAnsi="宋体" w:eastAsia="宋体" w:cs="Times New Roman"/>
          <w:color w:val="auto"/>
          <w:sz w:val="24"/>
        </w:rPr>
        <w:t>为进一步加强服务质量管控，甲方</w:t>
      </w:r>
      <w:r>
        <w:rPr>
          <w:rFonts w:hint="eastAsia" w:ascii="宋体" w:hAnsi="宋体" w:eastAsia="宋体" w:cs="Times New Roman"/>
          <w:color w:val="auto"/>
          <w:sz w:val="24"/>
          <w:lang w:val="en-US" w:eastAsia="zh-CN"/>
        </w:rPr>
        <w:t>每月</w:t>
      </w:r>
      <w:r>
        <w:rPr>
          <w:rFonts w:hint="eastAsia" w:ascii="宋体" w:hAnsi="宋体" w:eastAsia="宋体" w:cs="Times New Roman"/>
          <w:color w:val="auto"/>
          <w:sz w:val="24"/>
        </w:rPr>
        <w:t>根据上级单位（部门）及行业管理机构发布的营业厅相关差错通报内容，开展对乙方相应扣罚，具体扣罚条款详见附件2：《服务差错扣罚办法》。</w:t>
      </w:r>
    </w:p>
    <w:p>
      <w:pPr>
        <w:spacing w:line="360" w:lineRule="auto"/>
        <w:ind w:firstLine="560"/>
        <w:contextualSpacing/>
        <w:rPr>
          <w:rFonts w:hint="eastAsia" w:ascii="宋体" w:hAnsi="宋体" w:eastAsia="宋体" w:cs="Times New Roman"/>
          <w:sz w:val="24"/>
        </w:rPr>
      </w:pPr>
    </w:p>
    <w:p>
      <w:pPr>
        <w:pStyle w:val="2"/>
      </w:pPr>
    </w:p>
    <w:p>
      <w:pPr>
        <w:pStyle w:val="3"/>
        <w:rPr>
          <w:color w:val="auto"/>
        </w:rPr>
      </w:pPr>
    </w:p>
    <w:p/>
    <w:p>
      <w:pPr>
        <w:pStyle w:val="2"/>
      </w:pPr>
    </w:p>
    <w:p>
      <w:pPr>
        <w:pStyle w:val="3"/>
        <w:rPr>
          <w:color w:val="auto"/>
        </w:rPr>
      </w:pPr>
    </w:p>
    <w:p/>
    <w:p>
      <w:pPr>
        <w:pStyle w:val="2"/>
      </w:pPr>
    </w:p>
    <w:p>
      <w:pPr>
        <w:pStyle w:val="3"/>
        <w:rPr>
          <w:color w:val="auto"/>
        </w:rPr>
      </w:pPr>
    </w:p>
    <w:p/>
    <w:p>
      <w:pPr>
        <w:pStyle w:val="2"/>
      </w:pPr>
    </w:p>
    <w:p>
      <w:pPr>
        <w:pStyle w:val="3"/>
        <w:rPr>
          <w:color w:val="auto"/>
        </w:rPr>
      </w:pPr>
    </w:p>
    <w:p/>
    <w:p>
      <w:pPr>
        <w:pStyle w:val="2"/>
      </w:pPr>
    </w:p>
    <w:p>
      <w:pPr>
        <w:rPr>
          <w:rFonts w:hint="eastAsia" w:ascii="宋体" w:hAnsi="宋体" w:eastAsia="宋体" w:cs="Times New Roman"/>
          <w:sz w:val="24"/>
        </w:rPr>
      </w:pPr>
      <w:r>
        <w:rPr>
          <w:rFonts w:hint="eastAsia" w:ascii="宋体" w:hAnsi="宋体" w:eastAsia="宋体" w:cs="Times New Roman"/>
          <w:sz w:val="24"/>
        </w:rPr>
        <w:t>附件1：</w:t>
      </w:r>
    </w:p>
    <w:p>
      <w:pPr>
        <w:spacing w:line="360" w:lineRule="auto"/>
        <w:jc w:val="center"/>
        <w:outlineLvl w:val="0"/>
        <w:rPr>
          <w:rFonts w:hint="eastAsia" w:ascii="宋体" w:hAnsi="宋体"/>
          <w:b/>
          <w:bCs/>
          <w:sz w:val="28"/>
          <w:szCs w:val="28"/>
        </w:rPr>
      </w:pPr>
      <w:bookmarkStart w:id="8" w:name="_Toc29434"/>
      <w:r>
        <w:rPr>
          <w:rFonts w:hint="eastAsia" w:ascii="宋体" w:hAnsi="宋体"/>
          <w:b/>
          <w:bCs/>
          <w:sz w:val="28"/>
          <w:szCs w:val="28"/>
        </w:rPr>
        <w:t>服务考核办法</w:t>
      </w:r>
      <w:bookmarkEnd w:id="8"/>
    </w:p>
    <w:tbl>
      <w:tblPr>
        <w:tblStyle w:val="14"/>
        <w:tblpPr w:leftFromText="180" w:rightFromText="180" w:vertAnchor="text" w:horzAnchor="page" w:tblpX="1840" w:tblpY="189"/>
        <w:tblOverlap w:val="never"/>
        <w:tblW w:w="481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5"/>
        <w:gridCol w:w="1514"/>
        <w:gridCol w:w="5093"/>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6" w:type="pct"/>
            <w:shd w:val="clear" w:color="CCFFFF" w:fill="auto"/>
            <w:vAlign w:val="center"/>
          </w:tcPr>
          <w:p>
            <w:pPr>
              <w:widowControl/>
              <w:jc w:val="center"/>
              <w:textAlignment w:val="center"/>
              <w:rPr>
                <w:rFonts w:hint="eastAsia" w:ascii="仿宋" w:hAnsi="仿宋" w:eastAsia="仿宋" w:cs="仿宋"/>
                <w:b/>
                <w:bCs/>
                <w:sz w:val="24"/>
              </w:rPr>
            </w:pPr>
            <w:r>
              <w:rPr>
                <w:rFonts w:hint="eastAsia" w:ascii="仿宋" w:hAnsi="仿宋" w:eastAsia="仿宋" w:cs="仿宋"/>
                <w:b/>
                <w:bCs/>
                <w:kern w:val="0"/>
                <w:sz w:val="24"/>
              </w:rPr>
              <w:t>考核项目</w:t>
            </w:r>
          </w:p>
        </w:tc>
        <w:tc>
          <w:tcPr>
            <w:tcW w:w="922" w:type="pct"/>
            <w:shd w:val="clear" w:color="CCFFFF" w:fill="auto"/>
            <w:vAlign w:val="center"/>
          </w:tcPr>
          <w:p>
            <w:pPr>
              <w:widowControl/>
              <w:jc w:val="center"/>
              <w:textAlignment w:val="center"/>
              <w:rPr>
                <w:rFonts w:hint="eastAsia" w:ascii="仿宋" w:hAnsi="仿宋" w:eastAsia="仿宋" w:cs="仿宋"/>
                <w:b/>
                <w:bCs/>
                <w:sz w:val="24"/>
              </w:rPr>
            </w:pPr>
            <w:r>
              <w:rPr>
                <w:rFonts w:hint="eastAsia" w:ascii="仿宋" w:hAnsi="仿宋" w:eastAsia="仿宋" w:cs="仿宋"/>
                <w:b/>
                <w:bCs/>
                <w:kern w:val="0"/>
                <w:sz w:val="24"/>
              </w:rPr>
              <w:t>考核细项</w:t>
            </w:r>
          </w:p>
        </w:tc>
        <w:tc>
          <w:tcPr>
            <w:tcW w:w="3101" w:type="pct"/>
            <w:shd w:val="clear" w:color="CCFFFF" w:fill="auto"/>
            <w:noWrap/>
            <w:vAlign w:val="center"/>
          </w:tcPr>
          <w:p>
            <w:pPr>
              <w:widowControl/>
              <w:jc w:val="center"/>
              <w:textAlignment w:val="center"/>
              <w:rPr>
                <w:rFonts w:hint="eastAsia" w:ascii="仿宋" w:hAnsi="仿宋" w:eastAsia="仿宋" w:cs="仿宋"/>
                <w:sz w:val="24"/>
              </w:rPr>
            </w:pPr>
            <w:r>
              <w:rPr>
                <w:rFonts w:hint="eastAsia" w:ascii="仿宋" w:hAnsi="仿宋" w:eastAsia="仿宋" w:cs="仿宋"/>
                <w:kern w:val="0"/>
                <w:sz w:val="24"/>
              </w:rPr>
              <w:t>评分标准</w:t>
            </w:r>
          </w:p>
        </w:tc>
        <w:tc>
          <w:tcPr>
            <w:tcW w:w="539" w:type="pct"/>
            <w:shd w:val="clear" w:color="CCFFFF" w:fill="auto"/>
            <w:noWrap/>
            <w:vAlign w:val="center"/>
          </w:tcPr>
          <w:p>
            <w:pPr>
              <w:widowControl/>
              <w:jc w:val="center"/>
              <w:textAlignment w:val="center"/>
              <w:rPr>
                <w:rFonts w:hint="eastAsia" w:ascii="仿宋" w:hAnsi="仿宋" w:eastAsia="仿宋" w:cs="仿宋"/>
                <w:sz w:val="24"/>
              </w:rPr>
            </w:pPr>
            <w:r>
              <w:rPr>
                <w:rFonts w:hint="eastAsia" w:ascii="仿宋" w:hAnsi="仿宋" w:eastAsia="仿宋" w:cs="仿宋"/>
                <w:kern w:val="0"/>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6" w:type="pct"/>
            <w:vMerge w:val="restart"/>
            <w:shd w:val="clear" w:color="auto" w:fill="FFFFFF"/>
            <w:vAlign w:val="center"/>
          </w:tcPr>
          <w:p>
            <w:pPr>
              <w:widowControl/>
              <w:jc w:val="center"/>
              <w:textAlignment w:val="center"/>
              <w:rPr>
                <w:rFonts w:hint="eastAsia" w:ascii="宋体" w:hAnsi="宋体" w:eastAsia="宋体" w:cs="宋体"/>
                <w:b/>
                <w:bCs/>
                <w:sz w:val="22"/>
                <w:szCs w:val="22"/>
              </w:rPr>
            </w:pPr>
            <w:r>
              <w:rPr>
                <w:rFonts w:hint="eastAsia" w:ascii="宋体" w:hAnsi="宋体" w:eastAsia="宋体" w:cs="宋体"/>
                <w:b/>
                <w:bCs/>
                <w:kern w:val="0"/>
                <w:sz w:val="22"/>
                <w:szCs w:val="22"/>
              </w:rPr>
              <w:t>项目管理</w:t>
            </w:r>
          </w:p>
        </w:tc>
        <w:tc>
          <w:tcPr>
            <w:tcW w:w="922" w:type="pct"/>
            <w:shd w:val="clear" w:color="auto" w:fill="FFFFFF"/>
            <w:vAlign w:val="center"/>
          </w:tcPr>
          <w:p>
            <w:pPr>
              <w:widowControl/>
              <w:jc w:val="center"/>
              <w:textAlignment w:val="center"/>
              <w:rPr>
                <w:rFonts w:hint="eastAsia" w:ascii="宋体" w:hAnsi="宋体" w:eastAsia="宋体" w:cs="宋体"/>
                <w:b/>
                <w:bCs/>
                <w:sz w:val="22"/>
                <w:szCs w:val="22"/>
              </w:rPr>
            </w:pPr>
            <w:r>
              <w:rPr>
                <w:rFonts w:hint="eastAsia" w:ascii="宋体" w:hAnsi="宋体" w:eastAsia="宋体" w:cs="宋体"/>
                <w:b/>
                <w:bCs/>
                <w:kern w:val="0"/>
                <w:sz w:val="22"/>
                <w:szCs w:val="22"/>
              </w:rPr>
              <w:t>项目运营</w:t>
            </w:r>
          </w:p>
        </w:tc>
        <w:tc>
          <w:tcPr>
            <w:tcW w:w="3101" w:type="pct"/>
            <w:shd w:val="clear" w:color="auto" w:fill="FFFFFF"/>
            <w:vAlign w:val="center"/>
          </w:tcPr>
          <w:p>
            <w:pPr>
              <w:widowControl/>
              <w:numPr>
                <w:ilvl w:val="0"/>
                <w:numId w:val="6"/>
              </w:numPr>
              <w:textAlignment w:val="center"/>
            </w:pPr>
            <w:r>
              <w:rPr>
                <w:rFonts w:hint="eastAsia"/>
              </w:rPr>
              <w:t>参考供电营业厅相关服务渠道管理办法开展驻点巡查工作，每发现一项违规事件视情节扣1-2分，单项最高可10分。</w:t>
            </w:r>
          </w:p>
          <w:p>
            <w:pPr>
              <w:widowControl/>
              <w:numPr>
                <w:ilvl w:val="0"/>
                <w:numId w:val="6"/>
              </w:numPr>
              <w:textAlignment w:val="center"/>
            </w:pPr>
            <w:r>
              <w:rPr>
                <w:rFonts w:hint="eastAsia"/>
              </w:rPr>
              <w:t>项目推进不到位，人员配备不能满足正常运营，服务内容落实不到位，每项视情节扣1-3分，单项最高可10分。</w:t>
            </w:r>
          </w:p>
          <w:p>
            <w:pPr>
              <w:pStyle w:val="2"/>
            </w:pPr>
            <w:r>
              <w:rPr>
                <w:rFonts w:hint="eastAsia" w:ascii="宋体" w:hAnsi="宋体" w:eastAsia="宋体" w:cs="宋体"/>
                <w:kern w:val="0"/>
                <w:sz w:val="22"/>
                <w:szCs w:val="22"/>
              </w:rPr>
              <w:t>（3）在岗情况：工作时间内出现人员脱岗，经查属无故迟到或不到，扣0.5分/人，</w:t>
            </w:r>
            <w:r>
              <w:rPr>
                <w:rFonts w:hint="eastAsia"/>
              </w:rPr>
              <w:t>单项最高可10分。</w:t>
            </w:r>
          </w:p>
        </w:tc>
        <w:tc>
          <w:tcPr>
            <w:tcW w:w="539" w:type="pct"/>
            <w:noWrap/>
            <w:vAlign w:val="center"/>
          </w:tcPr>
          <w:p>
            <w:pPr>
              <w:widowControl/>
              <w:jc w:val="center"/>
              <w:textAlignment w:val="center"/>
              <w:rPr>
                <w:rFonts w:hint="eastAsia" w:ascii="宋体" w:hAnsi="宋体" w:eastAsia="宋体" w:cs="宋体"/>
                <w:sz w:val="22"/>
                <w:szCs w:val="22"/>
              </w:rPr>
            </w:pPr>
            <w:r>
              <w:rPr>
                <w:rFonts w:hint="eastAsia" w:ascii="宋体" w:hAnsi="宋体" w:eastAsia="宋体" w:cs="宋体"/>
                <w:kern w:val="0"/>
                <w:sz w:val="22"/>
                <w:szCs w:val="22"/>
              </w:rPr>
              <w:t xml:space="preserve">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4" w:hRule="atLeast"/>
        </w:trPr>
        <w:tc>
          <w:tcPr>
            <w:tcW w:w="436" w:type="pct"/>
            <w:vMerge w:val="continue"/>
            <w:shd w:val="clear" w:color="auto" w:fill="FFFFFF"/>
            <w:vAlign w:val="center"/>
          </w:tcPr>
          <w:p>
            <w:pPr>
              <w:jc w:val="center"/>
              <w:rPr>
                <w:rFonts w:hint="eastAsia" w:ascii="宋体" w:hAnsi="宋体" w:eastAsia="宋体" w:cs="宋体"/>
                <w:b/>
                <w:bCs/>
                <w:sz w:val="22"/>
                <w:szCs w:val="22"/>
              </w:rPr>
            </w:pPr>
          </w:p>
        </w:tc>
        <w:tc>
          <w:tcPr>
            <w:tcW w:w="922" w:type="pct"/>
            <w:shd w:val="clear" w:color="auto" w:fill="FFFFFF"/>
            <w:vAlign w:val="center"/>
          </w:tcPr>
          <w:p>
            <w:pPr>
              <w:widowControl/>
              <w:jc w:val="center"/>
              <w:textAlignment w:val="center"/>
              <w:rPr>
                <w:rFonts w:hint="eastAsia" w:ascii="宋体" w:hAnsi="宋体" w:eastAsia="宋体" w:cs="宋体"/>
                <w:b/>
                <w:bCs/>
                <w:sz w:val="22"/>
                <w:szCs w:val="22"/>
              </w:rPr>
            </w:pPr>
            <w:r>
              <w:rPr>
                <w:rFonts w:hint="eastAsia" w:ascii="宋体" w:hAnsi="宋体" w:eastAsia="宋体" w:cs="宋体"/>
                <w:b/>
                <w:bCs/>
                <w:sz w:val="22"/>
                <w:szCs w:val="22"/>
              </w:rPr>
              <w:t>业务培训</w:t>
            </w:r>
          </w:p>
        </w:tc>
        <w:tc>
          <w:tcPr>
            <w:tcW w:w="3101" w:type="pct"/>
            <w:vAlign w:val="center"/>
          </w:tcPr>
          <w:p>
            <w:pPr>
              <w:widowControl/>
              <w:numPr>
                <w:ilvl w:val="0"/>
                <w:numId w:val="7"/>
              </w:numPr>
              <w:textAlignment w:val="center"/>
              <w:rPr>
                <w:rFonts w:hint="eastAsia" w:ascii="宋体" w:hAnsi="宋体" w:eastAsia="宋体" w:cs="宋体"/>
                <w:kern w:val="0"/>
                <w:sz w:val="22"/>
                <w:szCs w:val="22"/>
              </w:rPr>
            </w:pPr>
            <w:r>
              <w:rPr>
                <w:rFonts w:hint="eastAsia" w:ascii="宋体" w:hAnsi="宋体" w:eastAsia="宋体" w:cs="宋体"/>
                <w:kern w:val="0"/>
                <w:sz w:val="22"/>
                <w:szCs w:val="22"/>
              </w:rPr>
              <w:t>业务培训：每月至少开展人员技能集中培训1场或以上，未开展扣5分。</w:t>
            </w:r>
          </w:p>
          <w:p>
            <w:pPr>
              <w:widowControl/>
              <w:numPr>
                <w:ilvl w:val="0"/>
                <w:numId w:val="7"/>
              </w:numPr>
              <w:textAlignment w:val="center"/>
              <w:rPr>
                <w:rFonts w:hint="eastAsia" w:ascii="宋体" w:hAnsi="宋体" w:eastAsia="宋体" w:cs="宋体"/>
                <w:kern w:val="0"/>
                <w:sz w:val="22"/>
                <w:szCs w:val="22"/>
              </w:rPr>
            </w:pPr>
            <w:r>
              <w:rPr>
                <w:rFonts w:hint="eastAsia" w:ascii="宋体" w:hAnsi="宋体" w:eastAsia="宋体" w:cs="宋体"/>
                <w:kern w:val="0"/>
                <w:sz w:val="22"/>
                <w:szCs w:val="22"/>
              </w:rPr>
              <w:t>业务测评：每月组织全员月度考试，低于80分以下每人扣1分，低于70分以下，每人扣2分。</w:t>
            </w:r>
          </w:p>
          <w:p>
            <w:pPr>
              <w:widowControl/>
              <w:textAlignment w:val="center"/>
              <w:rPr>
                <w:rFonts w:hint="eastAsia" w:ascii="宋体" w:hAnsi="宋体" w:eastAsia="宋体" w:cs="宋体"/>
                <w:sz w:val="22"/>
                <w:szCs w:val="22"/>
              </w:rPr>
            </w:pPr>
            <w:r>
              <w:rPr>
                <w:rFonts w:hint="eastAsia" w:ascii="宋体" w:hAnsi="宋体" w:eastAsia="宋体" w:cs="宋体"/>
                <w:kern w:val="0"/>
                <w:sz w:val="22"/>
                <w:szCs w:val="22"/>
              </w:rPr>
              <w:t>（3）以上合计最高可扣20分。</w:t>
            </w:r>
          </w:p>
        </w:tc>
        <w:tc>
          <w:tcPr>
            <w:tcW w:w="539" w:type="pct"/>
            <w:noWrap/>
            <w:vAlign w:val="center"/>
          </w:tcPr>
          <w:p>
            <w:pPr>
              <w:widowControl/>
              <w:jc w:val="center"/>
              <w:textAlignment w:val="center"/>
              <w:rPr>
                <w:rFonts w:hint="eastAsia" w:ascii="宋体" w:hAnsi="宋体" w:eastAsia="宋体" w:cs="宋体"/>
                <w:sz w:val="22"/>
                <w:szCs w:val="22"/>
              </w:rPr>
            </w:pPr>
            <w:r>
              <w:rPr>
                <w:rFonts w:hint="eastAsia" w:ascii="宋体" w:hAnsi="宋体" w:eastAsia="宋体" w:cs="宋体"/>
                <w:kern w:val="0"/>
                <w:sz w:val="22"/>
                <w:szCs w:val="22"/>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trPr>
        <w:tc>
          <w:tcPr>
            <w:tcW w:w="436" w:type="pct"/>
            <w:vMerge w:val="continue"/>
            <w:shd w:val="clear" w:color="auto" w:fill="FFFFFF"/>
            <w:vAlign w:val="center"/>
          </w:tcPr>
          <w:p>
            <w:pPr>
              <w:jc w:val="center"/>
              <w:rPr>
                <w:rFonts w:hint="eastAsia" w:ascii="宋体" w:hAnsi="宋体" w:eastAsia="宋体" w:cs="宋体"/>
                <w:b/>
                <w:bCs/>
                <w:sz w:val="22"/>
                <w:szCs w:val="22"/>
              </w:rPr>
            </w:pPr>
          </w:p>
        </w:tc>
        <w:tc>
          <w:tcPr>
            <w:tcW w:w="922" w:type="pct"/>
            <w:vAlign w:val="center"/>
          </w:tcPr>
          <w:p>
            <w:pPr>
              <w:widowControl/>
              <w:jc w:val="center"/>
              <w:textAlignment w:val="center"/>
              <w:rPr>
                <w:rFonts w:hint="eastAsia" w:ascii="宋体" w:hAnsi="宋体" w:eastAsia="宋体" w:cs="宋体"/>
                <w:b/>
                <w:bCs/>
                <w:sz w:val="22"/>
                <w:szCs w:val="22"/>
              </w:rPr>
            </w:pPr>
            <w:r>
              <w:rPr>
                <w:rFonts w:hint="eastAsia" w:ascii="宋体" w:hAnsi="宋体" w:eastAsia="宋体" w:cs="宋体"/>
                <w:b/>
                <w:bCs/>
                <w:kern w:val="0"/>
                <w:sz w:val="22"/>
                <w:szCs w:val="22"/>
              </w:rPr>
              <w:t>人员稳定</w:t>
            </w:r>
          </w:p>
        </w:tc>
        <w:tc>
          <w:tcPr>
            <w:tcW w:w="3101" w:type="pct"/>
            <w:vAlign w:val="center"/>
          </w:tcPr>
          <w:p>
            <w:pPr>
              <w:widowControl/>
              <w:numPr>
                <w:ilvl w:val="0"/>
                <w:numId w:val="8"/>
              </w:numPr>
              <w:textAlignment w:val="center"/>
              <w:rPr>
                <w:rFonts w:hint="eastAsia" w:ascii="宋体" w:hAnsi="宋体" w:eastAsia="宋体" w:cs="宋体"/>
                <w:kern w:val="0"/>
                <w:sz w:val="22"/>
                <w:szCs w:val="22"/>
              </w:rPr>
            </w:pPr>
            <w:r>
              <w:rPr>
                <w:rFonts w:hint="eastAsia" w:ascii="宋体" w:hAnsi="宋体" w:eastAsia="宋体" w:cs="宋体"/>
                <w:kern w:val="0"/>
                <w:sz w:val="22"/>
                <w:szCs w:val="22"/>
              </w:rPr>
              <w:t>人员月度流失率：目标值≦5%。员工流失率=当月流失人数</w:t>
            </w:r>
            <w:r>
              <w:rPr>
                <w:rFonts w:ascii="Arial" w:hAnsi="Arial" w:eastAsia="宋体" w:cs="Arial"/>
                <w:kern w:val="0"/>
                <w:sz w:val="22"/>
                <w:szCs w:val="22"/>
              </w:rPr>
              <w:t>÷</w:t>
            </w:r>
            <w:r>
              <w:rPr>
                <w:rFonts w:hint="eastAsia" w:ascii="宋体" w:hAnsi="宋体" w:eastAsia="宋体" w:cs="宋体"/>
                <w:kern w:val="0"/>
                <w:sz w:val="22"/>
                <w:szCs w:val="22"/>
              </w:rPr>
              <w:t>当月在职最高人数*100%。员工流失率低于目标值得满分，高于目标值n个百分点，每超出1%，扣1分，线性扣分。</w:t>
            </w:r>
          </w:p>
          <w:p>
            <w:pPr>
              <w:widowControl/>
              <w:numPr>
                <w:ilvl w:val="0"/>
                <w:numId w:val="8"/>
              </w:numPr>
              <w:textAlignment w:val="center"/>
              <w:rPr>
                <w:rFonts w:hint="eastAsia" w:ascii="宋体" w:hAnsi="宋体" w:eastAsia="宋体" w:cs="宋体"/>
                <w:sz w:val="22"/>
                <w:szCs w:val="22"/>
              </w:rPr>
            </w:pPr>
            <w:r>
              <w:rPr>
                <w:rFonts w:hint="eastAsia" w:ascii="宋体" w:hAnsi="宋体" w:eastAsia="宋体" w:cs="宋体"/>
                <w:kern w:val="0"/>
                <w:sz w:val="22"/>
                <w:szCs w:val="22"/>
              </w:rPr>
              <w:t>补员及时率：目标值=100%。人员流失后，如不能满足甲方正常运营，乙方须在十个工作日内将新工作人员补充到位，否则扣1分/人。</w:t>
            </w:r>
            <w:r>
              <w:rPr>
                <w:rFonts w:hint="eastAsia" w:ascii="宋体" w:hAnsi="宋体" w:eastAsia="宋体" w:cs="宋体"/>
                <w:kern w:val="0"/>
                <w:sz w:val="22"/>
                <w:szCs w:val="22"/>
              </w:rPr>
              <w:br w:type="textWrapping"/>
            </w:r>
            <w:r>
              <w:rPr>
                <w:rFonts w:hint="eastAsia" w:ascii="宋体" w:hAnsi="宋体" w:eastAsia="宋体" w:cs="宋体"/>
                <w:kern w:val="0"/>
                <w:sz w:val="22"/>
                <w:szCs w:val="22"/>
              </w:rPr>
              <w:t>（3）以上合计最高可扣10分。</w:t>
            </w:r>
          </w:p>
        </w:tc>
        <w:tc>
          <w:tcPr>
            <w:tcW w:w="539" w:type="pct"/>
            <w:noWrap/>
            <w:vAlign w:val="center"/>
          </w:tcPr>
          <w:p>
            <w:pPr>
              <w:widowControl/>
              <w:jc w:val="center"/>
              <w:textAlignment w:val="center"/>
              <w:rPr>
                <w:rFonts w:hint="eastAsia" w:ascii="宋体" w:hAnsi="宋体" w:eastAsia="宋体" w:cs="宋体"/>
                <w:sz w:val="22"/>
                <w:szCs w:val="22"/>
              </w:rPr>
            </w:pPr>
            <w:r>
              <w:rPr>
                <w:rFonts w:hint="eastAsia" w:ascii="宋体" w:hAnsi="宋体" w:eastAsia="宋体" w:cs="宋体"/>
                <w:kern w:val="0"/>
                <w:sz w:val="22"/>
                <w:szCs w:val="22"/>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trPr>
        <w:tc>
          <w:tcPr>
            <w:tcW w:w="436" w:type="pct"/>
            <w:vMerge w:val="continue"/>
            <w:vAlign w:val="center"/>
          </w:tcPr>
          <w:p>
            <w:pPr>
              <w:jc w:val="center"/>
              <w:rPr>
                <w:rFonts w:hint="eastAsia" w:ascii="宋体" w:hAnsi="宋体" w:eastAsia="宋体" w:cs="宋体"/>
                <w:b/>
                <w:bCs/>
                <w:sz w:val="22"/>
                <w:szCs w:val="22"/>
              </w:rPr>
            </w:pPr>
          </w:p>
        </w:tc>
        <w:tc>
          <w:tcPr>
            <w:tcW w:w="922" w:type="pct"/>
            <w:vAlign w:val="center"/>
          </w:tcPr>
          <w:p>
            <w:pPr>
              <w:widowControl/>
              <w:jc w:val="center"/>
              <w:textAlignment w:val="center"/>
              <w:rPr>
                <w:rFonts w:hint="eastAsia" w:ascii="宋体" w:hAnsi="宋体" w:eastAsia="宋体" w:cs="宋体"/>
                <w:b/>
                <w:bCs/>
                <w:sz w:val="22"/>
                <w:szCs w:val="22"/>
              </w:rPr>
            </w:pPr>
            <w:r>
              <w:rPr>
                <w:rFonts w:hint="eastAsia" w:ascii="宋体" w:hAnsi="宋体" w:eastAsia="宋体" w:cs="宋体"/>
                <w:b/>
                <w:bCs/>
                <w:sz w:val="22"/>
                <w:szCs w:val="22"/>
              </w:rPr>
              <w:t>服务评价</w:t>
            </w:r>
          </w:p>
        </w:tc>
        <w:tc>
          <w:tcPr>
            <w:tcW w:w="3101" w:type="pct"/>
            <w:vAlign w:val="center"/>
          </w:tcPr>
          <w:p>
            <w:pPr>
              <w:widowControl/>
              <w:textAlignment w:val="center"/>
              <w:rPr>
                <w:rFonts w:hint="eastAsia" w:ascii="宋体" w:hAnsi="宋体" w:eastAsia="宋体" w:cs="宋体"/>
                <w:sz w:val="22"/>
                <w:szCs w:val="22"/>
              </w:rPr>
            </w:pPr>
            <w:r>
              <w:rPr>
                <w:rFonts w:hint="eastAsia" w:ascii="宋体" w:hAnsi="宋体" w:eastAsia="宋体" w:cs="宋体"/>
                <w:kern w:val="0"/>
                <w:sz w:val="22"/>
                <w:szCs w:val="22"/>
              </w:rPr>
              <w:t>驻点窗口的主业人员对外委人员的整体服务的综合评价，分值0-10分，满分10分。综合得分=所有评价窗口分数的平均值。</w:t>
            </w:r>
          </w:p>
        </w:tc>
        <w:tc>
          <w:tcPr>
            <w:tcW w:w="539" w:type="pct"/>
            <w:noWrap/>
            <w:vAlign w:val="center"/>
          </w:tcPr>
          <w:p>
            <w:pPr>
              <w:widowControl/>
              <w:jc w:val="center"/>
              <w:textAlignment w:val="center"/>
              <w:rPr>
                <w:rFonts w:hint="eastAsia" w:ascii="宋体" w:hAnsi="宋体" w:eastAsia="宋体" w:cs="宋体"/>
                <w:sz w:val="22"/>
                <w:szCs w:val="22"/>
              </w:rPr>
            </w:pPr>
            <w:r>
              <w:rPr>
                <w:rFonts w:hint="eastAsia" w:ascii="宋体" w:hAnsi="宋体" w:eastAsia="宋体" w:cs="宋体"/>
                <w:kern w:val="0"/>
                <w:sz w:val="22"/>
                <w:szCs w:val="22"/>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trPr>
        <w:tc>
          <w:tcPr>
            <w:tcW w:w="436" w:type="pct"/>
            <w:vMerge w:val="restart"/>
            <w:vAlign w:val="center"/>
          </w:tcPr>
          <w:p>
            <w:pPr>
              <w:widowControl/>
              <w:jc w:val="center"/>
              <w:textAlignment w:val="center"/>
              <w:rPr>
                <w:rFonts w:hint="eastAsia" w:ascii="宋体" w:hAnsi="宋体" w:eastAsia="宋体" w:cs="宋体"/>
                <w:b/>
                <w:bCs/>
                <w:sz w:val="22"/>
                <w:szCs w:val="22"/>
              </w:rPr>
            </w:pPr>
            <w:r>
              <w:rPr>
                <w:rFonts w:hint="eastAsia" w:ascii="宋体" w:hAnsi="宋体" w:eastAsia="宋体" w:cs="宋体"/>
                <w:b/>
                <w:bCs/>
                <w:kern w:val="0"/>
                <w:sz w:val="22"/>
                <w:szCs w:val="22"/>
              </w:rPr>
              <w:t>服务规范性</w:t>
            </w:r>
          </w:p>
        </w:tc>
        <w:tc>
          <w:tcPr>
            <w:tcW w:w="922" w:type="pct"/>
            <w:vAlign w:val="center"/>
          </w:tcPr>
          <w:p>
            <w:pPr>
              <w:widowControl/>
              <w:jc w:val="center"/>
              <w:textAlignment w:val="center"/>
              <w:rPr>
                <w:rFonts w:hint="eastAsia" w:ascii="宋体" w:hAnsi="宋体" w:eastAsia="宋体" w:cs="宋体"/>
                <w:b/>
                <w:bCs/>
                <w:sz w:val="22"/>
                <w:szCs w:val="22"/>
              </w:rPr>
            </w:pPr>
            <w:r>
              <w:rPr>
                <w:rFonts w:hint="eastAsia" w:ascii="宋体" w:hAnsi="宋体" w:eastAsia="宋体" w:cs="宋体"/>
                <w:b/>
                <w:bCs/>
                <w:kern w:val="0"/>
                <w:sz w:val="22"/>
                <w:szCs w:val="22"/>
              </w:rPr>
              <w:t>常态化服务检查</w:t>
            </w:r>
          </w:p>
        </w:tc>
        <w:tc>
          <w:tcPr>
            <w:tcW w:w="3101" w:type="pct"/>
            <w:vAlign w:val="center"/>
          </w:tcPr>
          <w:p>
            <w:pPr>
              <w:widowControl/>
              <w:numPr>
                <w:ilvl w:val="0"/>
                <w:numId w:val="9"/>
              </w:numPr>
              <w:jc w:val="left"/>
              <w:textAlignment w:val="center"/>
              <w:rPr>
                <w:rFonts w:hint="eastAsia" w:ascii="宋体" w:hAnsi="宋体" w:eastAsia="宋体" w:cs="宋体"/>
                <w:sz w:val="22"/>
                <w:szCs w:val="22"/>
              </w:rPr>
            </w:pPr>
            <w:r>
              <w:rPr>
                <w:rFonts w:hint="eastAsia" w:ascii="宋体" w:hAnsi="宋体" w:eastAsia="宋体" w:cs="宋体"/>
                <w:kern w:val="0"/>
                <w:sz w:val="22"/>
                <w:szCs w:val="22"/>
              </w:rPr>
              <w:t>岗前检查：工作人员至少提前10分钟上岗，并启动有关设备，检查相关设备、物品是否正常、资料是否齐全，确保通讯线路畅通。</w:t>
            </w:r>
          </w:p>
          <w:p>
            <w:pPr>
              <w:widowControl/>
              <w:numPr>
                <w:ilvl w:val="0"/>
                <w:numId w:val="9"/>
              </w:numPr>
              <w:jc w:val="left"/>
              <w:textAlignment w:val="center"/>
              <w:rPr>
                <w:rFonts w:hint="eastAsia" w:ascii="宋体" w:hAnsi="宋体" w:eastAsia="宋体" w:cs="宋体"/>
                <w:sz w:val="22"/>
                <w:szCs w:val="22"/>
              </w:rPr>
            </w:pPr>
            <w:r>
              <w:rPr>
                <w:rFonts w:hint="eastAsia" w:ascii="宋体" w:hAnsi="宋体" w:eastAsia="宋体" w:cs="宋体"/>
                <w:kern w:val="0"/>
                <w:sz w:val="22"/>
                <w:szCs w:val="22"/>
              </w:rPr>
              <w:t>信息公开：依据市级通报的信息公开及时公示相关资料。</w:t>
            </w:r>
            <w:r>
              <w:rPr>
                <w:rFonts w:hint="eastAsia" w:ascii="宋体" w:hAnsi="宋体" w:eastAsia="宋体" w:cs="宋体"/>
                <w:kern w:val="0"/>
                <w:sz w:val="22"/>
                <w:szCs w:val="22"/>
              </w:rPr>
              <w:br w:type="textWrapping"/>
            </w:r>
            <w:r>
              <w:rPr>
                <w:rFonts w:hint="eastAsia" w:ascii="宋体" w:hAnsi="宋体" w:eastAsia="宋体" w:cs="宋体"/>
                <w:kern w:val="0"/>
                <w:sz w:val="22"/>
                <w:szCs w:val="22"/>
              </w:rPr>
              <w:t>甲方检查发现未按要求实行扣1分/宗，因未按要求实行引起客户投诉扣3分/宗，最高可扣10分。</w:t>
            </w:r>
          </w:p>
        </w:tc>
        <w:tc>
          <w:tcPr>
            <w:tcW w:w="539" w:type="pct"/>
            <w:noWrap/>
            <w:vAlign w:val="center"/>
          </w:tcPr>
          <w:p>
            <w:pPr>
              <w:widowControl/>
              <w:jc w:val="center"/>
              <w:textAlignment w:val="center"/>
              <w:rPr>
                <w:rFonts w:hint="eastAsia" w:ascii="宋体" w:hAnsi="宋体" w:eastAsia="宋体" w:cs="宋体"/>
                <w:sz w:val="22"/>
                <w:szCs w:val="22"/>
              </w:rPr>
            </w:pPr>
            <w:r>
              <w:rPr>
                <w:rFonts w:hint="eastAsia" w:ascii="宋体" w:hAnsi="宋体" w:eastAsia="宋体" w:cs="宋体"/>
                <w:kern w:val="0"/>
                <w:sz w:val="22"/>
                <w:szCs w:val="22"/>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trPr>
        <w:tc>
          <w:tcPr>
            <w:tcW w:w="436" w:type="pct"/>
            <w:vMerge w:val="continue"/>
            <w:vAlign w:val="center"/>
          </w:tcPr>
          <w:p>
            <w:pPr>
              <w:jc w:val="center"/>
              <w:rPr>
                <w:rFonts w:hint="eastAsia" w:ascii="宋体" w:hAnsi="宋体" w:eastAsia="宋体" w:cs="宋体"/>
                <w:b/>
                <w:bCs/>
                <w:sz w:val="22"/>
                <w:szCs w:val="22"/>
              </w:rPr>
            </w:pPr>
          </w:p>
        </w:tc>
        <w:tc>
          <w:tcPr>
            <w:tcW w:w="922" w:type="pct"/>
            <w:vAlign w:val="center"/>
          </w:tcPr>
          <w:p>
            <w:pPr>
              <w:widowControl/>
              <w:jc w:val="center"/>
              <w:textAlignment w:val="center"/>
              <w:rPr>
                <w:rFonts w:hint="eastAsia" w:ascii="宋体" w:hAnsi="宋体" w:eastAsia="宋体" w:cs="宋体"/>
                <w:b/>
                <w:bCs/>
                <w:sz w:val="22"/>
                <w:szCs w:val="22"/>
              </w:rPr>
            </w:pPr>
            <w:r>
              <w:rPr>
                <w:rFonts w:hint="eastAsia" w:ascii="宋体" w:hAnsi="宋体" w:eastAsia="宋体" w:cs="宋体"/>
                <w:b/>
                <w:bCs/>
                <w:kern w:val="0"/>
                <w:sz w:val="22"/>
                <w:szCs w:val="22"/>
              </w:rPr>
              <w:t>服务差错</w:t>
            </w:r>
          </w:p>
        </w:tc>
        <w:tc>
          <w:tcPr>
            <w:tcW w:w="3101" w:type="pct"/>
            <w:vAlign w:val="center"/>
          </w:tcPr>
          <w:p>
            <w:pPr>
              <w:widowControl/>
              <w:textAlignment w:val="center"/>
              <w:rPr>
                <w:rFonts w:hint="eastAsia" w:ascii="宋体" w:hAnsi="宋体" w:eastAsia="宋体" w:cs="宋体"/>
                <w:sz w:val="22"/>
                <w:szCs w:val="22"/>
              </w:rPr>
            </w:pPr>
            <w:r>
              <w:rPr>
                <w:rFonts w:hint="eastAsia" w:ascii="宋体" w:hAnsi="宋体" w:eastAsia="宋体" w:cs="宋体"/>
                <w:kern w:val="0"/>
                <w:sz w:val="22"/>
                <w:szCs w:val="22"/>
              </w:rPr>
              <w:t>甲方检查发现服务差错扣1分/宗，如甲方检查发现服务违规现象扣2分/宗，最高可扣10分。</w:t>
            </w:r>
          </w:p>
        </w:tc>
        <w:tc>
          <w:tcPr>
            <w:tcW w:w="539" w:type="pct"/>
            <w:noWrap/>
            <w:vAlign w:val="center"/>
          </w:tcPr>
          <w:p>
            <w:pPr>
              <w:widowControl/>
              <w:jc w:val="center"/>
              <w:textAlignment w:val="center"/>
              <w:rPr>
                <w:rFonts w:hint="eastAsia" w:ascii="宋体" w:hAnsi="宋体" w:eastAsia="宋体" w:cs="宋体"/>
                <w:sz w:val="22"/>
                <w:szCs w:val="22"/>
              </w:rPr>
            </w:pPr>
            <w:r>
              <w:rPr>
                <w:rFonts w:hint="eastAsia" w:ascii="宋体" w:hAnsi="宋体" w:eastAsia="宋体" w:cs="宋体"/>
                <w:kern w:val="0"/>
                <w:sz w:val="22"/>
                <w:szCs w:val="22"/>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6" w:hRule="atLeast"/>
        </w:trPr>
        <w:tc>
          <w:tcPr>
            <w:tcW w:w="436" w:type="pct"/>
            <w:vMerge w:val="continue"/>
            <w:vAlign w:val="center"/>
          </w:tcPr>
          <w:p>
            <w:pPr>
              <w:jc w:val="center"/>
              <w:rPr>
                <w:rFonts w:hint="eastAsia" w:ascii="宋体" w:hAnsi="宋体" w:eastAsia="宋体" w:cs="宋体"/>
                <w:b/>
                <w:bCs/>
                <w:sz w:val="22"/>
                <w:szCs w:val="22"/>
              </w:rPr>
            </w:pPr>
          </w:p>
        </w:tc>
        <w:tc>
          <w:tcPr>
            <w:tcW w:w="922" w:type="pct"/>
            <w:vAlign w:val="center"/>
          </w:tcPr>
          <w:p>
            <w:pPr>
              <w:widowControl/>
              <w:jc w:val="center"/>
              <w:textAlignment w:val="center"/>
              <w:rPr>
                <w:rFonts w:hint="eastAsia" w:ascii="宋体" w:hAnsi="宋体" w:eastAsia="宋体" w:cs="宋体"/>
                <w:b/>
                <w:bCs/>
                <w:sz w:val="22"/>
                <w:szCs w:val="22"/>
              </w:rPr>
            </w:pPr>
            <w:r>
              <w:rPr>
                <w:rFonts w:hint="eastAsia" w:ascii="宋体" w:hAnsi="宋体" w:eastAsia="宋体" w:cs="宋体"/>
                <w:b/>
                <w:bCs/>
                <w:sz w:val="22"/>
                <w:szCs w:val="22"/>
              </w:rPr>
              <w:t>服务投诉</w:t>
            </w:r>
          </w:p>
        </w:tc>
        <w:tc>
          <w:tcPr>
            <w:tcW w:w="3101" w:type="pct"/>
            <w:vAlign w:val="center"/>
          </w:tcPr>
          <w:p>
            <w:pPr>
              <w:widowControl/>
              <w:numPr>
                <w:ilvl w:val="0"/>
                <w:numId w:val="10"/>
              </w:numPr>
              <w:textAlignment w:val="center"/>
            </w:pPr>
            <w:r>
              <w:rPr>
                <w:rFonts w:hint="eastAsia"/>
              </w:rPr>
              <w:t>经甲方检查或驻点营业厅、局官方媒体和服务监督热线反馈，存在服务（有责）投诉情况，扣3分/宗。</w:t>
            </w:r>
          </w:p>
          <w:p>
            <w:pPr>
              <w:widowControl/>
              <w:numPr>
                <w:ilvl w:val="0"/>
                <w:numId w:val="10"/>
              </w:numPr>
              <w:textAlignment w:val="center"/>
            </w:pPr>
            <w:r>
              <w:rPr>
                <w:rFonts w:hint="eastAsia"/>
              </w:rPr>
              <w:t>对于市局、95598转来的协办工单（含意见和建议）须于5个工作日内答复处理结果，甲方检查发现不及时扣1分/宗，引起客户投诉扣3分/宗。</w:t>
            </w:r>
          </w:p>
          <w:p>
            <w:pPr>
              <w:widowControl/>
              <w:numPr>
                <w:ilvl w:val="0"/>
                <w:numId w:val="10"/>
              </w:numPr>
              <w:textAlignment w:val="center"/>
            </w:pPr>
            <w:r>
              <w:rPr>
                <w:rFonts w:hint="eastAsia"/>
              </w:rPr>
              <w:t>以上</w:t>
            </w:r>
            <w:r>
              <w:rPr>
                <w:rFonts w:hint="eastAsia" w:ascii="宋体" w:hAnsi="宋体" w:eastAsia="宋体" w:cs="宋体"/>
                <w:kern w:val="0"/>
                <w:sz w:val="22"/>
                <w:szCs w:val="22"/>
              </w:rPr>
              <w:t>合计</w:t>
            </w:r>
            <w:r>
              <w:rPr>
                <w:rFonts w:hint="eastAsia"/>
              </w:rPr>
              <w:t>最</w:t>
            </w:r>
            <w:r>
              <w:rPr>
                <w:rFonts w:hint="eastAsia" w:ascii="宋体" w:hAnsi="宋体" w:eastAsia="宋体" w:cs="宋体"/>
                <w:kern w:val="0"/>
                <w:sz w:val="22"/>
                <w:szCs w:val="22"/>
              </w:rPr>
              <w:t>高可扣10分。</w:t>
            </w:r>
          </w:p>
        </w:tc>
        <w:tc>
          <w:tcPr>
            <w:tcW w:w="539" w:type="pct"/>
            <w:noWrap/>
            <w:vAlign w:val="center"/>
          </w:tcPr>
          <w:p>
            <w:pPr>
              <w:widowControl/>
              <w:jc w:val="center"/>
              <w:textAlignment w:val="center"/>
              <w:rPr>
                <w:rFonts w:hint="eastAsia" w:ascii="宋体" w:hAnsi="宋体" w:eastAsia="宋体" w:cs="宋体"/>
                <w:sz w:val="22"/>
                <w:szCs w:val="22"/>
              </w:rPr>
            </w:pPr>
            <w:r>
              <w:rPr>
                <w:rFonts w:hint="eastAsia" w:ascii="宋体" w:hAnsi="宋体" w:eastAsia="宋体" w:cs="宋体"/>
                <w:kern w:val="0"/>
                <w:sz w:val="22"/>
                <w:szCs w:val="22"/>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4460" w:type="pct"/>
            <w:gridSpan w:val="3"/>
            <w:vAlign w:val="center"/>
          </w:tcPr>
          <w:p>
            <w:pPr>
              <w:widowControl/>
              <w:jc w:val="center"/>
              <w:textAlignment w:val="center"/>
              <w:rPr>
                <w:rFonts w:hint="eastAsia" w:ascii="宋体" w:hAnsi="宋体" w:eastAsia="宋体" w:cs="宋体"/>
                <w:sz w:val="22"/>
                <w:szCs w:val="22"/>
              </w:rPr>
            </w:pPr>
            <w:r>
              <w:rPr>
                <w:rFonts w:hint="eastAsia" w:ascii="宋体" w:hAnsi="宋体" w:eastAsia="宋体" w:cs="宋体"/>
                <w:kern w:val="0"/>
                <w:sz w:val="22"/>
                <w:szCs w:val="22"/>
              </w:rPr>
              <w:t>总分</w:t>
            </w:r>
          </w:p>
        </w:tc>
        <w:tc>
          <w:tcPr>
            <w:tcW w:w="539" w:type="pct"/>
            <w:noWrap/>
            <w:vAlign w:val="center"/>
          </w:tcPr>
          <w:p>
            <w:pPr>
              <w:widowControl/>
              <w:jc w:val="center"/>
              <w:textAlignment w:val="center"/>
              <w:rPr>
                <w:rFonts w:hint="eastAsia" w:ascii="宋体" w:hAnsi="宋体" w:eastAsia="宋体" w:cs="宋体"/>
                <w:sz w:val="22"/>
                <w:szCs w:val="22"/>
              </w:rPr>
            </w:pPr>
            <w:r>
              <w:rPr>
                <w:rFonts w:hint="eastAsia" w:ascii="宋体" w:hAnsi="宋体" w:eastAsia="宋体" w:cs="宋体"/>
                <w:kern w:val="0"/>
                <w:sz w:val="22"/>
                <w:szCs w:val="22"/>
              </w:rPr>
              <w:t xml:space="preserve">100 </w:t>
            </w:r>
          </w:p>
        </w:tc>
      </w:tr>
    </w:tbl>
    <w:p>
      <w:pPr>
        <w:pStyle w:val="2"/>
      </w:pPr>
    </w:p>
    <w:p>
      <w:pPr>
        <w:rPr>
          <w:rFonts w:hint="eastAsia" w:ascii="宋体" w:hAnsi="宋体" w:eastAsia="宋体" w:cs="Times New Roman"/>
          <w:sz w:val="24"/>
        </w:rPr>
      </w:pPr>
      <w:r>
        <w:rPr>
          <w:rFonts w:hint="eastAsia" w:ascii="宋体" w:hAnsi="宋体" w:eastAsia="宋体" w:cs="Times New Roman"/>
          <w:sz w:val="24"/>
        </w:rPr>
        <w:t>附件2：</w:t>
      </w:r>
    </w:p>
    <w:p>
      <w:pPr>
        <w:spacing w:line="360" w:lineRule="auto"/>
        <w:jc w:val="center"/>
        <w:outlineLvl w:val="0"/>
        <w:rPr>
          <w:rFonts w:hint="eastAsia" w:ascii="宋体" w:hAnsi="宋体"/>
          <w:b/>
          <w:bCs/>
          <w:sz w:val="28"/>
          <w:szCs w:val="28"/>
        </w:rPr>
      </w:pPr>
      <w:r>
        <w:rPr>
          <w:rFonts w:hint="eastAsia" w:ascii="宋体" w:hAnsi="宋体"/>
          <w:b/>
          <w:bCs/>
          <w:sz w:val="28"/>
          <w:szCs w:val="28"/>
        </w:rPr>
        <w:t>服务差错扣罚办法</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
        <w:gridCol w:w="1300"/>
        <w:gridCol w:w="3117"/>
        <w:gridCol w:w="3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 w:type="dxa"/>
          </w:tcPr>
          <w:p>
            <w:pPr>
              <w:widowControl/>
              <w:jc w:val="center"/>
              <w:textAlignment w:val="center"/>
              <w:rPr>
                <w:rFonts w:hint="eastAsia" w:ascii="仿宋" w:hAnsi="仿宋" w:eastAsia="仿宋" w:cs="仿宋"/>
                <w:b/>
                <w:bCs/>
                <w:kern w:val="0"/>
                <w:sz w:val="24"/>
              </w:rPr>
            </w:pPr>
            <w:r>
              <w:rPr>
                <w:rFonts w:hint="eastAsia" w:ascii="仿宋" w:hAnsi="仿宋" w:eastAsia="仿宋" w:cs="仿宋"/>
                <w:b/>
                <w:bCs/>
                <w:kern w:val="0"/>
                <w:sz w:val="24"/>
              </w:rPr>
              <w:t>考核项目</w:t>
            </w:r>
          </w:p>
        </w:tc>
        <w:tc>
          <w:tcPr>
            <w:tcW w:w="1300" w:type="dxa"/>
            <w:vAlign w:val="center"/>
          </w:tcPr>
          <w:p>
            <w:pPr>
              <w:widowControl/>
              <w:jc w:val="center"/>
              <w:textAlignment w:val="center"/>
              <w:rPr>
                <w:rFonts w:hint="eastAsia" w:ascii="仿宋" w:hAnsi="仿宋" w:eastAsia="仿宋" w:cs="仿宋"/>
                <w:b/>
                <w:bCs/>
                <w:kern w:val="0"/>
                <w:sz w:val="24"/>
              </w:rPr>
            </w:pPr>
            <w:r>
              <w:rPr>
                <w:rFonts w:hint="eastAsia" w:ascii="仿宋" w:hAnsi="仿宋" w:eastAsia="仿宋" w:cs="仿宋"/>
                <w:b/>
                <w:bCs/>
                <w:kern w:val="0"/>
                <w:sz w:val="24"/>
              </w:rPr>
              <w:t>考核细项</w:t>
            </w:r>
          </w:p>
        </w:tc>
        <w:tc>
          <w:tcPr>
            <w:tcW w:w="3117" w:type="dxa"/>
            <w:vAlign w:val="center"/>
          </w:tcPr>
          <w:p>
            <w:pPr>
              <w:widowControl/>
              <w:jc w:val="center"/>
              <w:textAlignment w:val="center"/>
              <w:rPr>
                <w:rFonts w:hint="eastAsia" w:ascii="仿宋" w:hAnsi="仿宋" w:eastAsia="仿宋" w:cs="仿宋"/>
                <w:kern w:val="0"/>
                <w:sz w:val="24"/>
              </w:rPr>
            </w:pPr>
            <w:r>
              <w:rPr>
                <w:rFonts w:hint="eastAsia" w:ascii="仿宋" w:hAnsi="仿宋" w:eastAsia="仿宋" w:cs="仿宋"/>
                <w:kern w:val="0"/>
                <w:sz w:val="24"/>
              </w:rPr>
              <w:t>考核标准</w:t>
            </w:r>
          </w:p>
        </w:tc>
        <w:tc>
          <w:tcPr>
            <w:tcW w:w="3208" w:type="dxa"/>
            <w:vAlign w:val="center"/>
          </w:tcPr>
          <w:p>
            <w:pPr>
              <w:widowControl/>
              <w:jc w:val="center"/>
              <w:textAlignment w:val="center"/>
              <w:rPr>
                <w:rFonts w:hint="eastAsia" w:ascii="仿宋" w:hAnsi="仿宋" w:eastAsia="仿宋" w:cs="仿宋"/>
                <w:kern w:val="0"/>
                <w:sz w:val="24"/>
              </w:rPr>
            </w:pPr>
            <w:r>
              <w:rPr>
                <w:rFonts w:hint="eastAsia" w:ascii="仿宋" w:hAnsi="仿宋" w:eastAsia="仿宋" w:cs="仿宋"/>
                <w:kern w:val="0"/>
                <w:sz w:val="24"/>
              </w:rPr>
              <w:t>计算标准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 w:type="dxa"/>
            <w:vMerge w:val="restart"/>
            <w:vAlign w:val="center"/>
          </w:tcPr>
          <w:p>
            <w:pPr>
              <w:widowControl/>
              <w:jc w:val="center"/>
              <w:textAlignment w:val="center"/>
              <w:rPr>
                <w:rFonts w:hint="eastAsia" w:ascii="仿宋" w:hAnsi="仿宋" w:eastAsia="仿宋" w:cs="仿宋"/>
                <w:b/>
                <w:bCs/>
                <w:kern w:val="0"/>
                <w:sz w:val="24"/>
              </w:rPr>
            </w:pPr>
            <w:r>
              <w:rPr>
                <w:rFonts w:hint="eastAsia" w:ascii="仿宋" w:hAnsi="仿宋" w:eastAsia="仿宋" w:cs="仿宋"/>
                <w:b/>
                <w:bCs/>
                <w:kern w:val="0"/>
                <w:sz w:val="24"/>
              </w:rPr>
              <w:t>服务质量</w:t>
            </w:r>
          </w:p>
        </w:tc>
        <w:tc>
          <w:tcPr>
            <w:tcW w:w="1300" w:type="dxa"/>
            <w:vAlign w:val="center"/>
          </w:tcPr>
          <w:p>
            <w:pPr>
              <w:widowControl/>
              <w:jc w:val="center"/>
              <w:textAlignment w:val="center"/>
              <w:rPr>
                <w:rFonts w:hint="eastAsia" w:ascii="仿宋" w:hAnsi="仿宋" w:eastAsia="仿宋" w:cs="仿宋"/>
                <w:b/>
                <w:bCs/>
                <w:kern w:val="0"/>
                <w:sz w:val="24"/>
              </w:rPr>
            </w:pPr>
            <w:r>
              <w:rPr>
                <w:rFonts w:hint="eastAsia" w:ascii="仿宋" w:hAnsi="仿宋" w:eastAsia="仿宋" w:cs="仿宋"/>
                <w:b/>
                <w:bCs/>
                <w:kern w:val="0"/>
                <w:sz w:val="24"/>
              </w:rPr>
              <w:t>信息公开准确度</w:t>
            </w:r>
          </w:p>
        </w:tc>
        <w:tc>
          <w:tcPr>
            <w:tcW w:w="3117" w:type="dxa"/>
            <w:vAlign w:val="center"/>
          </w:tcPr>
          <w:p>
            <w:pPr>
              <w:widowControl/>
              <w:textAlignment w:val="center"/>
              <w:rPr>
                <w:rFonts w:hint="eastAsia" w:ascii="宋体" w:hAnsi="宋体" w:eastAsia="宋体" w:cs="宋体"/>
                <w:kern w:val="0"/>
                <w:sz w:val="22"/>
                <w:szCs w:val="22"/>
              </w:rPr>
            </w:pPr>
            <w:r>
              <w:rPr>
                <w:rFonts w:hint="eastAsia" w:ascii="宋体" w:hAnsi="宋体" w:eastAsia="宋体" w:cs="宋体"/>
                <w:kern w:val="0"/>
                <w:sz w:val="22"/>
                <w:szCs w:val="22"/>
              </w:rPr>
              <w:t>依据省级通报的信息公开问题，经查属外委驻点营业厅存在信息公开差错。</w:t>
            </w:r>
          </w:p>
        </w:tc>
        <w:tc>
          <w:tcPr>
            <w:tcW w:w="3208" w:type="dxa"/>
            <w:vAlign w:val="center"/>
          </w:tcPr>
          <w:p>
            <w:pPr>
              <w:widowControl/>
              <w:textAlignment w:val="center"/>
              <w:rPr>
                <w:rFonts w:hint="eastAsia" w:ascii="宋体" w:hAnsi="宋体" w:eastAsia="宋体" w:cs="宋体"/>
                <w:kern w:val="0"/>
                <w:sz w:val="22"/>
                <w:szCs w:val="22"/>
              </w:rPr>
            </w:pPr>
            <w:r>
              <w:rPr>
                <w:rFonts w:hint="eastAsia" w:ascii="宋体" w:hAnsi="宋体" w:eastAsia="宋体" w:cs="宋体"/>
                <w:kern w:val="0"/>
                <w:sz w:val="22"/>
                <w:szCs w:val="22"/>
              </w:rPr>
              <w:t>依据问题数量，按合同结算单价中的月单价的10%进行扣减。</w:t>
            </w:r>
          </w:p>
          <w:p>
            <w:pPr>
              <w:widowControl/>
              <w:textAlignment w:val="center"/>
              <w:rPr>
                <w:rFonts w:hint="eastAsia" w:ascii="宋体" w:hAnsi="宋体" w:eastAsia="宋体" w:cs="宋体"/>
                <w:kern w:val="0"/>
                <w:sz w:val="22"/>
                <w:szCs w:val="22"/>
              </w:rPr>
            </w:pPr>
            <w:r>
              <w:rPr>
                <w:rFonts w:hint="eastAsia" w:ascii="宋体" w:hAnsi="宋体" w:eastAsia="宋体" w:cs="宋体"/>
                <w:kern w:val="0"/>
                <w:sz w:val="22"/>
                <w:szCs w:val="22"/>
              </w:rPr>
              <w:t>扣款金额=</w:t>
            </w:r>
            <w:r>
              <w:rPr>
                <w:rFonts w:ascii="宋体" w:hAnsi="宋体" w:eastAsia="宋体" w:cs="宋体"/>
                <w:kern w:val="0"/>
                <w:sz w:val="22"/>
                <w:szCs w:val="22"/>
              </w:rPr>
              <w:t>月单价×10%×问题数量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 w:type="dxa"/>
            <w:vMerge w:val="continue"/>
            <w:vAlign w:val="center"/>
          </w:tcPr>
          <w:p>
            <w:pPr>
              <w:widowControl/>
              <w:jc w:val="center"/>
              <w:textAlignment w:val="center"/>
              <w:rPr>
                <w:rFonts w:hint="eastAsia" w:ascii="仿宋" w:hAnsi="仿宋" w:eastAsia="仿宋" w:cs="仿宋"/>
                <w:b/>
                <w:bCs/>
                <w:kern w:val="0"/>
                <w:sz w:val="24"/>
              </w:rPr>
            </w:pPr>
          </w:p>
        </w:tc>
        <w:tc>
          <w:tcPr>
            <w:tcW w:w="1300" w:type="dxa"/>
            <w:vAlign w:val="center"/>
          </w:tcPr>
          <w:p>
            <w:pPr>
              <w:widowControl/>
              <w:jc w:val="center"/>
              <w:textAlignment w:val="center"/>
              <w:rPr>
                <w:rFonts w:hint="eastAsia" w:ascii="仿宋" w:hAnsi="仿宋" w:eastAsia="仿宋" w:cs="仿宋"/>
                <w:b/>
                <w:bCs/>
                <w:kern w:val="0"/>
                <w:sz w:val="24"/>
              </w:rPr>
            </w:pPr>
            <w:r>
              <w:rPr>
                <w:rFonts w:hint="eastAsia" w:ascii="仿宋" w:hAnsi="仿宋" w:eastAsia="仿宋" w:cs="仿宋"/>
                <w:b/>
                <w:bCs/>
                <w:kern w:val="0"/>
                <w:sz w:val="24"/>
              </w:rPr>
              <w:t>营业厅检查</w:t>
            </w:r>
          </w:p>
        </w:tc>
        <w:tc>
          <w:tcPr>
            <w:tcW w:w="3117" w:type="dxa"/>
            <w:vAlign w:val="center"/>
          </w:tcPr>
          <w:p>
            <w:pPr>
              <w:widowControl/>
              <w:textAlignment w:val="center"/>
              <w:rPr>
                <w:rFonts w:hint="eastAsia" w:ascii="宋体" w:hAnsi="宋体" w:eastAsia="宋体" w:cs="宋体"/>
                <w:kern w:val="0"/>
                <w:sz w:val="22"/>
                <w:szCs w:val="22"/>
              </w:rPr>
            </w:pPr>
            <w:r>
              <w:rPr>
                <w:rFonts w:hint="eastAsia" w:ascii="宋体" w:hAnsi="宋体" w:eastAsia="宋体" w:cs="宋体"/>
                <w:kern w:val="0"/>
                <w:sz w:val="22"/>
                <w:szCs w:val="22"/>
              </w:rPr>
              <w:t>依据省级通报的营业厅管理问题中，经查属外委驻点营业厅存在环境卫生、设备设施、员工仪容仪表等不符合规范要求。</w:t>
            </w:r>
          </w:p>
        </w:tc>
        <w:tc>
          <w:tcPr>
            <w:tcW w:w="3208" w:type="dxa"/>
            <w:vAlign w:val="center"/>
          </w:tcPr>
          <w:p>
            <w:pPr>
              <w:widowControl/>
              <w:textAlignment w:val="center"/>
              <w:rPr>
                <w:rFonts w:hint="eastAsia" w:ascii="宋体" w:hAnsi="宋体" w:eastAsia="宋体" w:cs="宋体"/>
                <w:kern w:val="0"/>
                <w:sz w:val="22"/>
                <w:szCs w:val="22"/>
              </w:rPr>
            </w:pPr>
            <w:r>
              <w:rPr>
                <w:rFonts w:hint="eastAsia" w:ascii="宋体" w:hAnsi="宋体" w:eastAsia="宋体" w:cs="宋体"/>
                <w:kern w:val="0"/>
                <w:sz w:val="22"/>
                <w:szCs w:val="22"/>
              </w:rPr>
              <w:t>依据问题数量，按合同结算单价中的月单价的10%进行扣减。</w:t>
            </w:r>
          </w:p>
          <w:p>
            <w:pPr>
              <w:widowControl/>
              <w:textAlignment w:val="center"/>
              <w:rPr>
                <w:rFonts w:hint="eastAsia" w:ascii="宋体" w:hAnsi="宋体" w:eastAsia="宋体" w:cs="宋体"/>
                <w:kern w:val="0"/>
                <w:sz w:val="22"/>
                <w:szCs w:val="22"/>
              </w:rPr>
            </w:pPr>
            <w:r>
              <w:rPr>
                <w:rFonts w:hint="eastAsia" w:ascii="宋体" w:hAnsi="宋体" w:eastAsia="宋体" w:cs="宋体"/>
                <w:kern w:val="0"/>
                <w:sz w:val="22"/>
                <w:szCs w:val="22"/>
              </w:rPr>
              <w:t>扣款金额=</w:t>
            </w:r>
            <w:r>
              <w:rPr>
                <w:rFonts w:ascii="宋体" w:hAnsi="宋体" w:eastAsia="宋体" w:cs="宋体"/>
                <w:kern w:val="0"/>
                <w:sz w:val="22"/>
                <w:szCs w:val="22"/>
              </w:rPr>
              <w:t>月单价×10%×问题数量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 w:type="dxa"/>
            <w:vMerge w:val="continue"/>
            <w:vAlign w:val="center"/>
          </w:tcPr>
          <w:p>
            <w:pPr>
              <w:widowControl/>
              <w:jc w:val="center"/>
              <w:textAlignment w:val="center"/>
              <w:rPr>
                <w:rFonts w:hint="eastAsia" w:ascii="仿宋" w:hAnsi="仿宋" w:eastAsia="仿宋" w:cs="仿宋"/>
                <w:b/>
                <w:bCs/>
                <w:kern w:val="0"/>
                <w:sz w:val="24"/>
              </w:rPr>
            </w:pPr>
          </w:p>
        </w:tc>
        <w:tc>
          <w:tcPr>
            <w:tcW w:w="1300" w:type="dxa"/>
            <w:vAlign w:val="center"/>
          </w:tcPr>
          <w:p>
            <w:pPr>
              <w:widowControl/>
              <w:jc w:val="center"/>
              <w:textAlignment w:val="center"/>
              <w:rPr>
                <w:rFonts w:hint="eastAsia" w:ascii="仿宋" w:hAnsi="仿宋" w:eastAsia="仿宋" w:cs="仿宋"/>
                <w:b/>
                <w:bCs/>
                <w:kern w:val="0"/>
                <w:sz w:val="24"/>
              </w:rPr>
            </w:pPr>
            <w:r>
              <w:rPr>
                <w:rFonts w:hint="eastAsia" w:ascii="仿宋" w:hAnsi="仿宋" w:eastAsia="仿宋" w:cs="仿宋"/>
                <w:b/>
                <w:bCs/>
                <w:kern w:val="0"/>
                <w:sz w:val="24"/>
              </w:rPr>
              <w:t>在岗情况</w:t>
            </w:r>
          </w:p>
        </w:tc>
        <w:tc>
          <w:tcPr>
            <w:tcW w:w="3117" w:type="dxa"/>
            <w:vAlign w:val="center"/>
          </w:tcPr>
          <w:p>
            <w:pPr>
              <w:widowControl/>
              <w:textAlignment w:val="center"/>
              <w:rPr>
                <w:rFonts w:hint="eastAsia" w:ascii="宋体" w:hAnsi="宋体" w:eastAsia="宋体" w:cs="宋体"/>
                <w:kern w:val="0"/>
                <w:sz w:val="22"/>
                <w:szCs w:val="22"/>
              </w:rPr>
            </w:pPr>
            <w:r>
              <w:rPr>
                <w:rFonts w:hint="eastAsia" w:ascii="宋体" w:hAnsi="宋体" w:eastAsia="宋体" w:cs="宋体"/>
                <w:kern w:val="0"/>
                <w:sz w:val="22"/>
                <w:szCs w:val="22"/>
              </w:rPr>
              <w:t>在营业厅营业时间内，存在擅自脱岗、擅离岗位、空岗等服务主责情况的。</w:t>
            </w:r>
          </w:p>
        </w:tc>
        <w:tc>
          <w:tcPr>
            <w:tcW w:w="3208" w:type="dxa"/>
            <w:vAlign w:val="center"/>
          </w:tcPr>
          <w:p>
            <w:pPr>
              <w:widowControl/>
              <w:textAlignment w:val="center"/>
              <w:rPr>
                <w:rFonts w:hint="eastAsia" w:ascii="宋体" w:hAnsi="宋体" w:eastAsia="宋体" w:cs="宋体"/>
                <w:kern w:val="0"/>
                <w:sz w:val="22"/>
                <w:szCs w:val="22"/>
              </w:rPr>
            </w:pPr>
            <w:r>
              <w:rPr>
                <w:rFonts w:hint="eastAsia" w:ascii="宋体" w:hAnsi="宋体" w:eastAsia="宋体" w:cs="宋体"/>
                <w:kern w:val="0"/>
                <w:sz w:val="22"/>
                <w:szCs w:val="22"/>
              </w:rPr>
              <w:t>依据发现次数，按结算单价中的月单价的10%进行扣减。</w:t>
            </w:r>
          </w:p>
          <w:p>
            <w:pPr>
              <w:widowControl/>
              <w:textAlignment w:val="center"/>
              <w:rPr>
                <w:rFonts w:hint="eastAsia" w:ascii="宋体" w:hAnsi="宋体" w:eastAsia="宋体" w:cs="宋体"/>
                <w:kern w:val="0"/>
                <w:sz w:val="22"/>
                <w:szCs w:val="22"/>
              </w:rPr>
            </w:pPr>
            <w:r>
              <w:rPr>
                <w:rFonts w:hint="eastAsia" w:ascii="宋体" w:hAnsi="宋体" w:eastAsia="宋体" w:cs="宋体"/>
                <w:kern w:val="0"/>
                <w:sz w:val="22"/>
                <w:szCs w:val="22"/>
              </w:rPr>
              <w:t>扣款金额=</w:t>
            </w:r>
            <w:r>
              <w:rPr>
                <w:rFonts w:ascii="宋体" w:hAnsi="宋体" w:eastAsia="宋体" w:cs="宋体"/>
                <w:kern w:val="0"/>
                <w:sz w:val="22"/>
                <w:szCs w:val="22"/>
              </w:rPr>
              <w:t>月单价×10%×</w:t>
            </w:r>
            <w:r>
              <w:rPr>
                <w:rFonts w:hint="eastAsia" w:ascii="宋体" w:hAnsi="宋体" w:eastAsia="宋体" w:cs="宋体"/>
                <w:kern w:val="0"/>
                <w:sz w:val="22"/>
                <w:szCs w:val="22"/>
              </w:rPr>
              <w:t>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 w:type="dxa"/>
            <w:vAlign w:val="center"/>
          </w:tcPr>
          <w:p>
            <w:pPr>
              <w:widowControl/>
              <w:jc w:val="center"/>
              <w:textAlignment w:val="center"/>
              <w:rPr>
                <w:rFonts w:hint="eastAsia" w:ascii="仿宋" w:hAnsi="仿宋" w:eastAsia="仿宋" w:cs="仿宋"/>
                <w:b/>
                <w:bCs/>
                <w:kern w:val="0"/>
                <w:sz w:val="24"/>
              </w:rPr>
            </w:pPr>
            <w:r>
              <w:rPr>
                <w:rFonts w:hint="eastAsia" w:ascii="仿宋" w:hAnsi="仿宋" w:eastAsia="仿宋" w:cs="仿宋"/>
                <w:b/>
                <w:bCs/>
                <w:kern w:val="0"/>
                <w:sz w:val="24"/>
              </w:rPr>
              <w:t>客户满意度</w:t>
            </w:r>
          </w:p>
        </w:tc>
        <w:tc>
          <w:tcPr>
            <w:tcW w:w="1300" w:type="dxa"/>
            <w:vAlign w:val="center"/>
          </w:tcPr>
          <w:p>
            <w:pPr>
              <w:widowControl/>
              <w:jc w:val="center"/>
              <w:textAlignment w:val="center"/>
              <w:rPr>
                <w:rFonts w:hint="eastAsia" w:ascii="仿宋" w:hAnsi="仿宋" w:eastAsia="仿宋" w:cs="仿宋"/>
                <w:b/>
                <w:bCs/>
                <w:kern w:val="0"/>
                <w:sz w:val="24"/>
              </w:rPr>
            </w:pPr>
            <w:r>
              <w:rPr>
                <w:rFonts w:hint="eastAsia" w:ascii="仿宋" w:hAnsi="仿宋" w:eastAsia="仿宋" w:cs="仿宋"/>
                <w:b/>
                <w:bCs/>
                <w:kern w:val="0"/>
                <w:sz w:val="24"/>
              </w:rPr>
              <w:t>营业厅渠道合理诉求</w:t>
            </w:r>
          </w:p>
        </w:tc>
        <w:tc>
          <w:tcPr>
            <w:tcW w:w="3117" w:type="dxa"/>
            <w:vAlign w:val="center"/>
          </w:tcPr>
          <w:p>
            <w:pPr>
              <w:widowControl/>
              <w:textAlignment w:val="center"/>
              <w:rPr>
                <w:rFonts w:hint="eastAsia" w:ascii="宋体" w:hAnsi="宋体" w:eastAsia="宋体" w:cs="宋体"/>
                <w:kern w:val="0"/>
                <w:sz w:val="22"/>
                <w:szCs w:val="22"/>
              </w:rPr>
            </w:pPr>
            <w:r>
              <w:rPr>
                <w:rFonts w:hint="eastAsia" w:ascii="宋体" w:hAnsi="宋体" w:eastAsia="宋体" w:cs="宋体"/>
                <w:kern w:val="0"/>
                <w:sz w:val="22"/>
                <w:szCs w:val="22"/>
              </w:rPr>
              <w:t>经行业管理机构（如95598供电服务热线、12398能源监管热线等）、政府管理机构（如12345政务服务便民热线等）及我局官方媒体等反映或投诉，判定外委单位存在服务主责。</w:t>
            </w:r>
          </w:p>
        </w:tc>
        <w:tc>
          <w:tcPr>
            <w:tcW w:w="3208" w:type="dxa"/>
            <w:vAlign w:val="center"/>
          </w:tcPr>
          <w:p>
            <w:pPr>
              <w:widowControl/>
              <w:textAlignment w:val="center"/>
              <w:rPr>
                <w:rFonts w:hint="eastAsia" w:ascii="宋体" w:hAnsi="宋体" w:eastAsia="宋体" w:cs="宋体"/>
                <w:kern w:val="0"/>
                <w:sz w:val="22"/>
                <w:szCs w:val="22"/>
              </w:rPr>
            </w:pPr>
            <w:r>
              <w:rPr>
                <w:rFonts w:hint="eastAsia" w:ascii="宋体" w:hAnsi="宋体" w:eastAsia="宋体" w:cs="宋体"/>
                <w:kern w:val="0"/>
                <w:sz w:val="22"/>
                <w:szCs w:val="22"/>
              </w:rPr>
              <w:t>依据</w:t>
            </w:r>
            <w:r>
              <w:rPr>
                <w:rFonts w:hint="eastAsia" w:ascii="宋体" w:hAnsi="宋体" w:eastAsia="宋体" w:cs="宋体"/>
                <w:kern w:val="0"/>
                <w:sz w:val="22"/>
                <w:szCs w:val="22"/>
                <w:lang w:eastAsia="zh-CN"/>
              </w:rPr>
              <w:t>有责</w:t>
            </w:r>
            <w:r>
              <w:rPr>
                <w:rFonts w:hint="eastAsia" w:ascii="宋体" w:hAnsi="宋体" w:eastAsia="宋体" w:cs="宋体"/>
                <w:kern w:val="0"/>
                <w:sz w:val="22"/>
                <w:szCs w:val="22"/>
              </w:rPr>
              <w:t>问题数量，按合同结算单价中的月单价的10%进行扣减。</w:t>
            </w:r>
          </w:p>
          <w:p>
            <w:pPr>
              <w:widowControl/>
              <w:textAlignment w:val="center"/>
              <w:rPr>
                <w:rFonts w:hint="eastAsia" w:ascii="宋体" w:hAnsi="宋体" w:eastAsia="宋体" w:cs="宋体"/>
                <w:kern w:val="0"/>
                <w:sz w:val="22"/>
                <w:szCs w:val="22"/>
              </w:rPr>
            </w:pPr>
            <w:r>
              <w:rPr>
                <w:rFonts w:hint="eastAsia" w:ascii="宋体" w:hAnsi="宋体" w:eastAsia="宋体" w:cs="宋体"/>
                <w:kern w:val="0"/>
                <w:sz w:val="22"/>
                <w:szCs w:val="22"/>
              </w:rPr>
              <w:t>扣款金额=</w:t>
            </w:r>
            <w:r>
              <w:rPr>
                <w:rFonts w:ascii="宋体" w:hAnsi="宋体" w:eastAsia="宋体" w:cs="宋体"/>
                <w:kern w:val="0"/>
                <w:sz w:val="22"/>
                <w:szCs w:val="22"/>
              </w:rPr>
              <w:t>月单价×10%×</w:t>
            </w:r>
            <w:r>
              <w:rPr>
                <w:rFonts w:hint="eastAsia" w:ascii="宋体" w:hAnsi="宋体" w:eastAsia="宋体" w:cs="宋体"/>
                <w:kern w:val="0"/>
                <w:sz w:val="22"/>
                <w:szCs w:val="22"/>
              </w:rPr>
              <w:t>有效</w:t>
            </w:r>
            <w:r>
              <w:rPr>
                <w:rFonts w:ascii="宋体" w:hAnsi="宋体" w:eastAsia="宋体" w:cs="宋体"/>
                <w:kern w:val="0"/>
                <w:sz w:val="22"/>
                <w:szCs w:val="22"/>
              </w:rPr>
              <w:t>问题数量</w:t>
            </w:r>
          </w:p>
        </w:tc>
      </w:tr>
    </w:tbl>
    <w:p>
      <w:pPr>
        <w:spacing w:line="360" w:lineRule="auto"/>
        <w:contextualSpacing/>
        <w:rPr>
          <w:rFonts w:hint="eastAsia" w:ascii="宋体" w:hAnsi="宋体" w:eastAsia="宋体" w:cs="Times New Roman"/>
          <w:sz w:val="24"/>
        </w:rPr>
      </w:pPr>
    </w:p>
    <w:p>
      <w:pPr>
        <w:spacing w:line="360" w:lineRule="auto"/>
        <w:ind w:firstLine="480" w:firstLineChars="200"/>
        <w:contextualSpacing/>
        <w:rPr>
          <w:rFonts w:hint="eastAsia" w:ascii="宋体" w:hAnsi="宋体" w:eastAsia="宋体" w:cs="Times New Roman"/>
          <w:sz w:val="24"/>
        </w:rPr>
      </w:pPr>
    </w:p>
    <w:sectPr>
      <w:headerReference r:id="rId4" w:type="default"/>
      <w:footerReference r:id="rId5" w:type="default"/>
      <w:pgSz w:w="11906" w:h="16838"/>
      <w:pgMar w:top="12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530" name="文本框 4"/>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rtlCol="0" anchor="t">
                      <a:spAutoFit/>
                    </wps:bodyPr>
                  </wps:wsp>
                </a:graphicData>
              </a:graphic>
            </wp:anchor>
          </w:drawing>
        </mc:Choice>
        <mc:Fallback>
          <w:pict>
            <v:rect id="文本框 4"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XW5UtAAAAAFAQAADwAAAAAAAAABACAAAAAiAAAAZHJzL2Rvd25yZXYueG1sUEsB&#10;AhQAFAAAAAgAh07iQKZNtXz9AQAAAQQAAA4AAAAAAAAAAQAgAAAAHwEAAGRycy9lMm9Eb2MueG1s&#10;UEsFBgAAAAAGAAYAWQEAAI4FAAAAAA==&#10;">
              <v:fill on="f" focussize="0,0"/>
              <v:stroke on="f"/>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1025" o:spid="_x0000_s1025" o:spt="75" type="#_x0000_t75" style="position:absolute;left:0pt;margin-left:-50pt;margin-top:25pt;height:76pt;width:100pt;z-index:-251656192;mso-width-relative:page;mso-height-relative:page;" filled="f" o:preferrelative="t" stroked="f" coordsize="21600,21600">
          <v:path/>
          <v:fill on="f" focussize="0,0"/>
          <v:stroke on="f" joinstyle="miter"/>
          <v:imagedata r:id="rId1" o:title=""/>
          <o:lock v:ext="edit" aspectratio="t"/>
        </v:shape>
      </w:pict>
    </w:r>
    <w:r>
      <w:pict>
        <v:shape id="_x0000_s1026" o:spid="_x0000_s1026" o:spt="75" type="#_x0000_t75" style="position:absolute;left:0pt;margin-left:160pt;margin-top:25pt;height:76pt;width:100pt;z-index:-251655168;mso-width-relative:page;mso-height-relative:page;" filled="f" o:preferrelative="t" stroked="f" coordsize="21600,21600">
          <v:path/>
          <v:fill on="f" focussize="0,0"/>
          <v:stroke on="f" joinstyle="miter"/>
          <v:imagedata r:id="rId1" o:title=""/>
          <o:lock v:ext="edit" aspectratio="t"/>
        </v:shape>
      </w:pict>
    </w:r>
    <w:r>
      <w:pict>
        <v:shape id="_x0000_s1027" o:spid="_x0000_s1027" o:spt="75" type="#_x0000_t75" style="position:absolute;left:0pt;margin-left:370pt;margin-top:25pt;height:76pt;width:100pt;z-index:-251654144;mso-width-relative:page;mso-height-relative:page;" filled="f" o:preferrelative="t" stroked="f" coordsize="21600,21600">
          <v:path/>
          <v:fill on="f" focussize="0,0"/>
          <v:stroke on="f" joinstyle="miter"/>
          <v:imagedata r:id="rId1" o:title=""/>
          <o:lock v:ext="edit" aspectratio="t"/>
        </v:shape>
      </w:pict>
    </w:r>
    <w:r>
      <w:pict>
        <v:shape id="_x0000_s1028" o:spid="_x0000_s1028" o:spt="75" type="#_x0000_t75" style="position:absolute;left:0pt;margin-left:-50pt;margin-top:340pt;height:76pt;width:100pt;z-index:-251653120;mso-width-relative:page;mso-height-relative:page;" filled="f" o:preferrelative="t" stroked="f" coordsize="21600,21600">
          <v:path/>
          <v:fill on="f" focussize="0,0"/>
          <v:stroke on="f" joinstyle="miter"/>
          <v:imagedata r:id="rId1" o:title=""/>
          <o:lock v:ext="edit" aspectratio="t"/>
        </v:shape>
      </w:pict>
    </w:r>
    <w:r>
      <w:pict>
        <v:shape id="_x0000_s1029" o:spid="_x0000_s1029" o:spt="75" type="#_x0000_t75" style="position:absolute;left:0pt;margin-left:160pt;margin-top:340pt;height:76pt;width:100pt;z-index:-251652096;mso-width-relative:page;mso-height-relative:page;" filled="f" o:preferrelative="t" stroked="f" coordsize="21600,21600">
          <v:path/>
          <v:fill on="f" focussize="0,0"/>
          <v:stroke on="f" joinstyle="miter"/>
          <v:imagedata r:id="rId1" o:title=""/>
          <o:lock v:ext="edit" aspectratio="t"/>
        </v:shape>
      </w:pict>
    </w:r>
    <w:r>
      <w:pict>
        <v:shape id="_x0000_s1030" o:spid="_x0000_s1030" o:spt="75" type="#_x0000_t75" style="position:absolute;left:0pt;margin-left:370pt;margin-top:340pt;height:76pt;width:100pt;z-index:-251651072;mso-width-relative:page;mso-height-relative:page;" filled="f" o:preferrelative="t" stroked="f" coordsize="21600,21600">
          <v:path/>
          <v:fill on="f" focussize="0,0"/>
          <v:stroke on="f" joinstyle="miter"/>
          <v:imagedata r:id="rId1" o:title=""/>
          <o:lock v:ext="edit" aspectratio="t"/>
        </v:shape>
      </w:pict>
    </w:r>
    <w:r>
      <w:pict>
        <v:shape id="_x0000_s1031" o:spid="_x0000_s1031" o:spt="75" type="#_x0000_t75" style="position:absolute;left:0pt;margin-left:-50pt;margin-top:655pt;height:76pt;width:100pt;z-index:-251650048;mso-width-relative:page;mso-height-relative:page;" filled="f" o:preferrelative="t" stroked="f" coordsize="21600,21600">
          <v:path/>
          <v:fill on="f" focussize="0,0"/>
          <v:stroke on="f" joinstyle="miter"/>
          <v:imagedata r:id="rId1" o:title=""/>
          <o:lock v:ext="edit" aspectratio="t"/>
        </v:shape>
      </w:pict>
    </w:r>
    <w:r>
      <w:pict>
        <v:shape id="_x0000_s1032" o:spid="_x0000_s1032" o:spt="75" type="#_x0000_t75" style="position:absolute;left:0pt;margin-left:160pt;margin-top:655pt;height:76pt;width:100pt;z-index:-251649024;mso-width-relative:page;mso-height-relative:page;" filled="f" o:preferrelative="t" stroked="f" coordsize="21600,21600">
          <v:path/>
          <v:fill on="f" focussize="0,0"/>
          <v:stroke on="f" joinstyle="miter"/>
          <v:imagedata r:id="rId1" o:title=""/>
          <o:lock v:ext="edit" aspectratio="t"/>
        </v:shape>
      </w:pict>
    </w:r>
    <w:r>
      <w:pict>
        <v:shape id="_x0000_s1033" o:spid="_x0000_s1033" o:spt="75" type="#_x0000_t75" style="position:absolute;left:0pt;margin-left:370pt;margin-top:655pt;height:76pt;width:100pt;z-index:-251648000;mso-width-relative:page;mso-height-relative:page;" filled="f" o:preferrelative="t" stroked="f" coordsize="21600,21600">
          <v:path/>
          <v:fill on="f" focussize="0,0"/>
          <v:stroke on="f" joinstyle="miter"/>
          <v:imagedata r:id="rId1" o:title=""/>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1034" o:spid="_x0000_s1034" o:spt="75" type="#_x0000_t75" style="position:absolute;left:0pt;margin-left:-50pt;margin-top:25pt;height:76pt;width:100pt;z-index:-251648000;mso-width-relative:page;mso-height-relative:page;" filled="f" o:preferrelative="t" stroked="f" coordsize="21600,21600">
          <v:path/>
          <v:fill on="f" focussize="0,0"/>
          <v:stroke on="f" joinstyle="miter"/>
          <v:imagedata r:id="rId1" o:title=""/>
          <o:lock v:ext="edit" aspectratio="t"/>
        </v:shape>
      </w:pict>
    </w:r>
    <w:r>
      <w:pict>
        <v:shape id="_x0000_s1035" o:spid="_x0000_s1035" o:spt="75" type="#_x0000_t75" style="position:absolute;left:0pt;margin-left:160pt;margin-top:25pt;height:76pt;width:100pt;z-index:-251646976;mso-width-relative:page;mso-height-relative:page;" filled="f" o:preferrelative="t" stroked="f" coordsize="21600,21600">
          <v:path/>
          <v:fill on="f" focussize="0,0"/>
          <v:stroke on="f" joinstyle="miter"/>
          <v:imagedata r:id="rId1" o:title=""/>
          <o:lock v:ext="edit" aspectratio="t"/>
        </v:shape>
      </w:pict>
    </w:r>
    <w:r>
      <w:pict>
        <v:shape id="_x0000_s1036" o:spid="_x0000_s1036" o:spt="75" type="#_x0000_t75" style="position:absolute;left:0pt;margin-left:370pt;margin-top:25pt;height:76pt;width:100pt;z-index:-251645952;mso-width-relative:page;mso-height-relative:page;" filled="f" o:preferrelative="t" stroked="f" coordsize="21600,21600">
          <v:path/>
          <v:fill on="f" focussize="0,0"/>
          <v:stroke on="f" joinstyle="miter"/>
          <v:imagedata r:id="rId1" o:title=""/>
          <o:lock v:ext="edit" aspectratio="t"/>
        </v:shape>
      </w:pict>
    </w:r>
    <w:r>
      <w:pict>
        <v:shape id="_x0000_s1037" o:spid="_x0000_s1037" o:spt="75" type="#_x0000_t75" style="position:absolute;left:0pt;margin-left:-50pt;margin-top:340pt;height:76pt;width:100pt;z-index:-251644928;mso-width-relative:page;mso-height-relative:page;" filled="f" o:preferrelative="t" stroked="f" coordsize="21600,21600">
          <v:path/>
          <v:fill on="f" focussize="0,0"/>
          <v:stroke on="f" joinstyle="miter"/>
          <v:imagedata r:id="rId1" o:title=""/>
          <o:lock v:ext="edit" aspectratio="t"/>
        </v:shape>
      </w:pict>
    </w:r>
    <w:r>
      <w:pict>
        <v:shape id="_x0000_s1038" o:spid="_x0000_s1038" o:spt="75" type="#_x0000_t75" style="position:absolute;left:0pt;margin-left:160pt;margin-top:340pt;height:76pt;width:100pt;z-index:-251643904;mso-width-relative:page;mso-height-relative:page;" filled="f" o:preferrelative="t" stroked="f" coordsize="21600,21600">
          <v:path/>
          <v:fill on="f" focussize="0,0"/>
          <v:stroke on="f" joinstyle="miter"/>
          <v:imagedata r:id="rId1" o:title=""/>
          <o:lock v:ext="edit" aspectratio="t"/>
        </v:shape>
      </w:pict>
    </w:r>
    <w:r>
      <w:pict>
        <v:shape id="_x0000_s1039" o:spid="_x0000_s1039" o:spt="75" type="#_x0000_t75" style="position:absolute;left:0pt;margin-left:370pt;margin-top:340pt;height:76pt;width:100pt;z-index:-251642880;mso-width-relative:page;mso-height-relative:page;" filled="f" o:preferrelative="t" stroked="f" coordsize="21600,21600">
          <v:path/>
          <v:fill on="f" focussize="0,0"/>
          <v:stroke on="f" joinstyle="miter"/>
          <v:imagedata r:id="rId1" o:title=""/>
          <o:lock v:ext="edit" aspectratio="t"/>
        </v:shape>
      </w:pict>
    </w:r>
    <w:r>
      <w:pict>
        <v:shape id="_x0000_s1040" o:spid="_x0000_s1040" o:spt="75" type="#_x0000_t75" style="position:absolute;left:0pt;margin-left:-50pt;margin-top:655pt;height:76pt;width:100pt;z-index:-251641856;mso-width-relative:page;mso-height-relative:page;" filled="f" o:preferrelative="t" stroked="f" coordsize="21600,21600">
          <v:path/>
          <v:fill on="f" focussize="0,0"/>
          <v:stroke on="f" joinstyle="miter"/>
          <v:imagedata r:id="rId1" o:title=""/>
          <o:lock v:ext="edit" aspectratio="t"/>
        </v:shape>
      </w:pict>
    </w:r>
    <w:r>
      <w:pict>
        <v:shape id="_x0000_s1041" o:spid="_x0000_s1041" o:spt="75" type="#_x0000_t75" style="position:absolute;left:0pt;margin-left:160pt;margin-top:655pt;height:76pt;width:100pt;z-index:-251640832;mso-width-relative:page;mso-height-relative:page;" filled="f" o:preferrelative="t" stroked="f" coordsize="21600,21600">
          <v:path/>
          <v:fill on="f" focussize="0,0"/>
          <v:stroke on="f" joinstyle="miter"/>
          <v:imagedata r:id="rId1" o:title=""/>
          <o:lock v:ext="edit" aspectratio="t"/>
        </v:shape>
      </w:pict>
    </w:r>
    <w:r>
      <w:pict>
        <v:shape id="_x0000_s1042" o:spid="_x0000_s1042" o:spt="75" type="#_x0000_t75" style="position:absolute;left:0pt;margin-left:370pt;margin-top:655pt;height:76pt;width:100pt;z-index:-251639808;mso-width-relative:page;mso-height-relative:page;" filled="f" o:preferrelative="t" stroked="f" coordsize="21600,21600">
          <v:path/>
          <v:fill on="f" focussize="0,0"/>
          <v:stroke on="f" joinstyle="miter"/>
          <v:imagedata r:id="rId1" o:title=""/>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4A1BC7"/>
    <w:multiLevelType w:val="singleLevel"/>
    <w:tmpl w:val="874A1BC7"/>
    <w:lvl w:ilvl="0" w:tentative="0">
      <w:start w:val="1"/>
      <w:numFmt w:val="decimal"/>
      <w:lvlText w:val="%1."/>
      <w:lvlJc w:val="left"/>
      <w:pPr>
        <w:tabs>
          <w:tab w:val="left" w:pos="312"/>
        </w:tabs>
      </w:pPr>
    </w:lvl>
  </w:abstractNum>
  <w:abstractNum w:abstractNumId="1">
    <w:nsid w:val="B5E306ED"/>
    <w:multiLevelType w:val="singleLevel"/>
    <w:tmpl w:val="B5E306ED"/>
    <w:lvl w:ilvl="0" w:tentative="0">
      <w:start w:val="1"/>
      <w:numFmt w:val="decimal"/>
      <w:suff w:val="nothing"/>
      <w:lvlText w:val="（%1）"/>
      <w:lvlJc w:val="left"/>
    </w:lvl>
  </w:abstractNum>
  <w:abstractNum w:abstractNumId="2">
    <w:nsid w:val="CF092B84"/>
    <w:multiLevelType w:val="singleLevel"/>
    <w:tmpl w:val="CF092B84"/>
    <w:lvl w:ilvl="0" w:tentative="0">
      <w:start w:val="2"/>
      <w:numFmt w:val="chineseCounting"/>
      <w:suff w:val="nothing"/>
      <w:lvlText w:val="%1、"/>
      <w:lvlJc w:val="left"/>
      <w:rPr>
        <w:rFonts w:hint="eastAsia"/>
      </w:rPr>
    </w:lvl>
  </w:abstractNum>
  <w:abstractNum w:abstractNumId="3">
    <w:nsid w:val="0053208E"/>
    <w:multiLevelType w:val="multilevel"/>
    <w:tmpl w:val="0053208E"/>
    <w:lvl w:ilvl="0" w:tentative="0">
      <w:start w:val="1"/>
      <w:numFmt w:val="chineseCountingThousand"/>
      <w:suff w:val="nothing"/>
      <w:lvlText w:val="第%1章"/>
      <w:lvlJc w:val="left"/>
      <w:pPr>
        <w:ind w:left="0" w:firstLine="0"/>
      </w:pPr>
      <w:rPr>
        <w:rFonts w:hint="eastAsia"/>
        <w:i w:val="0"/>
      </w:rPr>
    </w:lvl>
    <w:lvl w:ilvl="1" w:tentative="0">
      <w:start w:val="1"/>
      <w:numFmt w:val="chineseCountingThousand"/>
      <w:pStyle w:val="5"/>
      <w:suff w:val="nothing"/>
      <w:lvlText w:val="%2、"/>
      <w:lvlJc w:val="left"/>
      <w:pPr>
        <w:ind w:left="0" w:firstLine="0"/>
      </w:pPr>
      <w:rPr>
        <w:rFonts w:hint="eastAsia"/>
        <w:i w:val="0"/>
      </w:rPr>
    </w:lvl>
    <w:lvl w:ilvl="2" w:tentative="0">
      <w:start w:val="1"/>
      <w:numFmt w:val="decimal"/>
      <w:pStyle w:val="6"/>
      <w:isLgl/>
      <w:lvlText w:val="%2.%3"/>
      <w:lvlJc w:val="left"/>
      <w:pPr>
        <w:ind w:left="142" w:firstLine="0"/>
      </w:pPr>
      <w:rPr>
        <w:rFonts w:hint="eastAsia"/>
      </w:rPr>
    </w:lvl>
    <w:lvl w:ilvl="3" w:tentative="0">
      <w:start w:val="1"/>
      <w:numFmt w:val="decimal"/>
      <w:pStyle w:val="8"/>
      <w:isLgl/>
      <w:suff w:val="space"/>
      <w:lvlText w:val="%2.%3.%4"/>
      <w:lvlJc w:val="left"/>
      <w:pPr>
        <w:ind w:left="0" w:firstLine="454"/>
      </w:pPr>
      <w:rPr>
        <w:rFonts w:hint="eastAsia"/>
        <w:b/>
      </w:rPr>
    </w:lvl>
    <w:lvl w:ilvl="4" w:tentative="0">
      <w:start w:val="1"/>
      <w:numFmt w:val="decimal"/>
      <w:isLgl/>
      <w:suff w:val="space"/>
      <w:lvlText w:val="%2.%3.%4.%5"/>
      <w:lvlJc w:val="left"/>
      <w:pPr>
        <w:ind w:left="0" w:firstLine="454"/>
      </w:pPr>
      <w:rPr>
        <w:rFonts w:hint="eastAsia"/>
      </w:rPr>
    </w:lvl>
    <w:lvl w:ilvl="5" w:tentative="0">
      <w:start w:val="1"/>
      <w:numFmt w:val="decimal"/>
      <w:isLgl/>
      <w:suff w:val="nothing"/>
      <w:lvlText w:val="%2.%3.%4.%5.%6"/>
      <w:lvlJc w:val="left"/>
      <w:pPr>
        <w:ind w:left="0" w:firstLine="0"/>
      </w:pPr>
      <w:rPr>
        <w:rFonts w:hint="eastAsia"/>
        <w:b/>
      </w:rPr>
    </w:lvl>
    <w:lvl w:ilvl="6" w:tentative="0">
      <w:start w:val="1"/>
      <w:numFmt w:val="decimal"/>
      <w:isLgl/>
      <w:suff w:val="space"/>
      <w:lvlText w:val="%2.%3.%4.%5.%6.%7"/>
      <w:lvlJc w:val="left"/>
      <w:pPr>
        <w:ind w:left="0" w:firstLine="0"/>
      </w:pPr>
      <w:rPr>
        <w:rFonts w:hint="eastAsia" w:ascii="宋体" w:hAnsi="宋体" w:eastAsia="宋体"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suff w:val="space"/>
      <w:lvlText w:val="3.%3.%4.%5.%6.%7.%8"/>
      <w:lvlJc w:val="left"/>
      <w:pPr>
        <w:ind w:left="0" w:firstLine="0"/>
      </w:pPr>
      <w:rPr>
        <w:rFonts w:hint="eastAsia" w:ascii="宋体" w:hAnsi="宋体" w:eastAsia="宋体"/>
        <w:i w:val="0"/>
      </w:rPr>
    </w:lvl>
    <w:lvl w:ilvl="8" w:tentative="0">
      <w:start w:val="1"/>
      <w:numFmt w:val="decimal"/>
      <w:suff w:val="nothing"/>
      <w:lvlText w:val="3.%3.%4.%5.%6.%7.%8.%9"/>
      <w:lvlJc w:val="left"/>
      <w:pPr>
        <w:ind w:left="0" w:firstLine="0"/>
      </w:pPr>
      <w:rPr>
        <w:rFonts w:hint="eastAsia"/>
      </w:rPr>
    </w:lvl>
  </w:abstractNum>
  <w:abstractNum w:abstractNumId="4">
    <w:nsid w:val="0EF658C3"/>
    <w:multiLevelType w:val="singleLevel"/>
    <w:tmpl w:val="0EF658C3"/>
    <w:lvl w:ilvl="0" w:tentative="0">
      <w:start w:val="1"/>
      <w:numFmt w:val="decimal"/>
      <w:suff w:val="nothing"/>
      <w:lvlText w:val="（%1）"/>
      <w:lvlJc w:val="left"/>
    </w:lvl>
  </w:abstractNum>
  <w:abstractNum w:abstractNumId="5">
    <w:nsid w:val="0FCF5DF8"/>
    <w:multiLevelType w:val="singleLevel"/>
    <w:tmpl w:val="0FCF5DF8"/>
    <w:lvl w:ilvl="0" w:tentative="0">
      <w:start w:val="1"/>
      <w:numFmt w:val="decimal"/>
      <w:suff w:val="nothing"/>
      <w:lvlText w:val="（%1）"/>
      <w:lvlJc w:val="left"/>
    </w:lvl>
  </w:abstractNum>
  <w:abstractNum w:abstractNumId="6">
    <w:nsid w:val="118AD72A"/>
    <w:multiLevelType w:val="singleLevel"/>
    <w:tmpl w:val="118AD72A"/>
    <w:lvl w:ilvl="0" w:tentative="0">
      <w:start w:val="1"/>
      <w:numFmt w:val="decimal"/>
      <w:suff w:val="nothing"/>
      <w:lvlText w:val="（%1）"/>
      <w:lvlJc w:val="left"/>
    </w:lvl>
  </w:abstractNum>
  <w:abstractNum w:abstractNumId="7">
    <w:nsid w:val="2765DB35"/>
    <w:multiLevelType w:val="singleLevel"/>
    <w:tmpl w:val="2765DB35"/>
    <w:lvl w:ilvl="0" w:tentative="0">
      <w:start w:val="1"/>
      <w:numFmt w:val="chineseCounting"/>
      <w:suff w:val="nothing"/>
      <w:lvlText w:val="（%1）"/>
      <w:lvlJc w:val="left"/>
      <w:rPr>
        <w:rFonts w:hint="eastAsia"/>
      </w:rPr>
    </w:lvl>
  </w:abstractNum>
  <w:abstractNum w:abstractNumId="8">
    <w:nsid w:val="3FEF3DF4"/>
    <w:multiLevelType w:val="singleLevel"/>
    <w:tmpl w:val="3FEF3DF4"/>
    <w:lvl w:ilvl="0" w:tentative="0">
      <w:start w:val="1"/>
      <w:numFmt w:val="decimal"/>
      <w:suff w:val="nothing"/>
      <w:lvlText w:val="（%1）"/>
      <w:lvlJc w:val="left"/>
    </w:lvl>
  </w:abstractNum>
  <w:abstractNum w:abstractNumId="9">
    <w:nsid w:val="59ADCABA"/>
    <w:multiLevelType w:val="singleLevel"/>
    <w:tmpl w:val="59ADCABA"/>
    <w:lvl w:ilvl="0" w:tentative="0">
      <w:start w:val="3"/>
      <w:numFmt w:val="chineseCounting"/>
      <w:suff w:val="nothing"/>
      <w:lvlText w:val="%1、"/>
      <w:lvlJc w:val="left"/>
      <w:pPr>
        <w:ind w:left="210"/>
      </w:pPr>
      <w:rPr>
        <w:rFonts w:hint="eastAsia"/>
      </w:rPr>
    </w:lvl>
  </w:abstractNum>
  <w:num w:numId="1">
    <w:abstractNumId w:val="3"/>
  </w:num>
  <w:num w:numId="2">
    <w:abstractNumId w:val="2"/>
  </w:num>
  <w:num w:numId="3">
    <w:abstractNumId w:val="9"/>
  </w:num>
  <w:num w:numId="4">
    <w:abstractNumId w:val="7"/>
  </w:num>
  <w:num w:numId="5">
    <w:abstractNumId w:val="0"/>
  </w:num>
  <w:num w:numId="6">
    <w:abstractNumId w:val="5"/>
  </w:num>
  <w:num w:numId="7">
    <w:abstractNumId w:val="6"/>
  </w:num>
  <w:num w:numId="8">
    <w:abstractNumId w:val="4"/>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NotTrackMove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cxNDk2MzE2NjQxMGEyZGMxM2FhNTEyNWU2OWU4ZDgifQ=="/>
  </w:docVars>
  <w:rsids>
    <w:rsidRoot w:val="009F4DEE"/>
    <w:rsid w:val="00032A1B"/>
    <w:rsid w:val="00311DD9"/>
    <w:rsid w:val="00481CDB"/>
    <w:rsid w:val="00542816"/>
    <w:rsid w:val="005A77DF"/>
    <w:rsid w:val="009855D7"/>
    <w:rsid w:val="009F4DEE"/>
    <w:rsid w:val="01841B5F"/>
    <w:rsid w:val="01893698"/>
    <w:rsid w:val="01EA0EF0"/>
    <w:rsid w:val="07C805FD"/>
    <w:rsid w:val="07CE66ED"/>
    <w:rsid w:val="08D829F2"/>
    <w:rsid w:val="1B167D47"/>
    <w:rsid w:val="1BBD762F"/>
    <w:rsid w:val="1BFB60AE"/>
    <w:rsid w:val="1F865547"/>
    <w:rsid w:val="208A41BE"/>
    <w:rsid w:val="20ED3B94"/>
    <w:rsid w:val="23BE7097"/>
    <w:rsid w:val="28AB7D51"/>
    <w:rsid w:val="28D53A2C"/>
    <w:rsid w:val="28F07E3E"/>
    <w:rsid w:val="292733A2"/>
    <w:rsid w:val="29B85935"/>
    <w:rsid w:val="2A8C1F36"/>
    <w:rsid w:val="2AB52A54"/>
    <w:rsid w:val="2C690942"/>
    <w:rsid w:val="30120ED7"/>
    <w:rsid w:val="3327271B"/>
    <w:rsid w:val="3610545F"/>
    <w:rsid w:val="4470229B"/>
    <w:rsid w:val="480858F8"/>
    <w:rsid w:val="4C6C2C60"/>
    <w:rsid w:val="4CCE2AC8"/>
    <w:rsid w:val="4D4B31BC"/>
    <w:rsid w:val="4E846253"/>
    <w:rsid w:val="4F58517B"/>
    <w:rsid w:val="54CB6C42"/>
    <w:rsid w:val="55E012E9"/>
    <w:rsid w:val="56793B52"/>
    <w:rsid w:val="606816ED"/>
    <w:rsid w:val="61810DDA"/>
    <w:rsid w:val="619F6573"/>
    <w:rsid w:val="62721CC5"/>
    <w:rsid w:val="6647649F"/>
    <w:rsid w:val="68302DBB"/>
    <w:rsid w:val="688A3974"/>
    <w:rsid w:val="68C27C8F"/>
    <w:rsid w:val="699769CA"/>
    <w:rsid w:val="705433F1"/>
    <w:rsid w:val="741A4809"/>
    <w:rsid w:val="75421A1C"/>
    <w:rsid w:val="7722592E"/>
    <w:rsid w:val="79F23BDE"/>
    <w:rsid w:val="7A311E86"/>
    <w:rsid w:val="7BC54972"/>
    <w:rsid w:val="7C413185"/>
    <w:rsid w:val="7CF03B31"/>
    <w:rsid w:val="7D5E07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after="330" w:line="576" w:lineRule="auto"/>
      <w:outlineLvl w:val="0"/>
    </w:pPr>
    <w:rPr>
      <w:b/>
      <w:bCs/>
      <w:kern w:val="44"/>
      <w:sz w:val="44"/>
      <w:szCs w:val="44"/>
    </w:rPr>
  </w:style>
  <w:style w:type="paragraph" w:styleId="5">
    <w:name w:val="heading 2"/>
    <w:basedOn w:val="1"/>
    <w:next w:val="1"/>
    <w:qFormat/>
    <w:uiPriority w:val="0"/>
    <w:pPr>
      <w:keepNext/>
      <w:keepLines/>
      <w:numPr>
        <w:ilvl w:val="1"/>
        <w:numId w:val="1"/>
      </w:numPr>
      <w:spacing w:line="360" w:lineRule="auto"/>
      <w:outlineLvl w:val="1"/>
    </w:pPr>
    <w:rPr>
      <w:rFonts w:ascii="Arial" w:hAnsi="宋体" w:eastAsia="黑体"/>
      <w:sz w:val="24"/>
    </w:rPr>
  </w:style>
  <w:style w:type="paragraph" w:styleId="6">
    <w:name w:val="heading 3"/>
    <w:basedOn w:val="1"/>
    <w:next w:val="7"/>
    <w:qFormat/>
    <w:uiPriority w:val="0"/>
    <w:pPr>
      <w:keepNext/>
      <w:keepLines/>
      <w:numPr>
        <w:ilvl w:val="2"/>
        <w:numId w:val="1"/>
      </w:numPr>
      <w:spacing w:line="360" w:lineRule="auto"/>
      <w:outlineLvl w:val="2"/>
    </w:pPr>
    <w:rPr>
      <w:rFonts w:ascii="宋体" w:hAnsi="宋体"/>
      <w:b/>
      <w:bCs/>
      <w:szCs w:val="21"/>
    </w:rPr>
  </w:style>
  <w:style w:type="paragraph" w:styleId="8">
    <w:name w:val="heading 4"/>
    <w:basedOn w:val="6"/>
    <w:next w:val="7"/>
    <w:qFormat/>
    <w:uiPriority w:val="0"/>
    <w:pPr>
      <w:numPr>
        <w:ilvl w:val="3"/>
      </w:numPr>
      <w:jc w:val="left"/>
      <w:outlineLvl w:val="3"/>
    </w:pPr>
    <w:rPr>
      <w:bCs w:val="0"/>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Normal Indent"/>
    <w:basedOn w:val="1"/>
    <w:qFormat/>
    <w:uiPriority w:val="0"/>
    <w:pPr>
      <w:ind w:firstLine="420" w:firstLine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Body Text First Indent"/>
    <w:basedOn w:val="2"/>
    <w:qFormat/>
    <w:uiPriority w:val="0"/>
    <w:pPr>
      <w:ind w:firstLine="420" w:firstLineChars="100"/>
    </w:pPr>
  </w:style>
  <w:style w:type="table" w:styleId="15">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17">
    <w:name w:val="Strong"/>
    <w:basedOn w:val="16"/>
    <w:qFormat/>
    <w:uiPriority w:val="0"/>
    <w:rPr>
      <w:b/>
    </w:rPr>
  </w:style>
  <w:style w:type="paragraph" w:customStyle="1" w:styleId="18">
    <w:name w:val="Comment Text"/>
    <w:basedOn w:val="1"/>
    <w:qFormat/>
    <w:uiPriority w:val="0"/>
    <w:pPr>
      <w:jc w:val="left"/>
    </w:pPr>
  </w:style>
  <w:style w:type="paragraph" w:customStyle="1" w:styleId="19">
    <w:name w:val="正文文字样式"/>
    <w:basedOn w:val="1"/>
    <w:qFormat/>
    <w:uiPriority w:val="0"/>
    <w:pPr>
      <w:spacing w:line="480" w:lineRule="exact"/>
      <w:ind w:firstLine="480" w:firstLineChars="200"/>
    </w:pPr>
    <w:rPr>
      <w:sz w:val="24"/>
      <w:lang w:val="zh-CN"/>
    </w:rPr>
  </w:style>
  <w:style w:type="paragraph" w:customStyle="1" w:styleId="20">
    <w:name w:val="6级正文"/>
    <w:basedOn w:val="1"/>
    <w:qFormat/>
    <w:uiPriority w:val="0"/>
    <w:pPr>
      <w:spacing w:line="360" w:lineRule="auto"/>
      <w:ind w:firstLine="444" w:firstLineChars="200"/>
    </w:pPr>
    <w:rPr>
      <w:rFonts w:ascii="宋体" w:hAnsi="宋体"/>
      <w:spacing w:val="6"/>
      <w:szCs w:val="21"/>
    </w:rPr>
  </w:style>
  <w:style w:type="paragraph" w:customStyle="1" w:styleId="21">
    <w:name w:val="样式 正文首行缩进 + 段前: 0.5 行 段后: 0.5 行"/>
    <w:basedOn w:val="13"/>
    <w:qFormat/>
    <w:uiPriority w:val="0"/>
    <w:pPr>
      <w:spacing w:beforeLines="50" w:afterLines="50" w:line="480" w:lineRule="exact"/>
      <w:ind w:firstLine="0" w:firstLineChars="0"/>
    </w:pPr>
    <w:rPr>
      <w:sz w:val="24"/>
      <w:lang w:val="zh-CN"/>
    </w:rPr>
  </w:style>
  <w:style w:type="paragraph" w:customStyle="1" w:styleId="22">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23">
    <w:name w:val="WPSOffice手动目录 1"/>
    <w:qFormat/>
    <w:uiPriority w:val="0"/>
    <w:rPr>
      <w:rFonts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26" textRotate="1"/>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Exts>
</s:customData>
</file>

<file path=customXml/item2.xml><?xml version="1.0" encoding="utf-8"?>
<Properties xmlns="http://schemas.openxmlformats.org/officeDocument/2006/extended-properties" xmlns:vt="http://schemas.openxmlformats.org/officeDocument/2006/docPropsVTypes">
  <Template>Normal.dotm</Template>
  <Pages>12</Pages>
  <Words>5627</Words>
  <Characters>5875</Characters>
  <Lines>0</Lines>
  <Paragraphs>0</Paragraphs>
  <TotalTime>0</TotalTime>
  <ScaleCrop>false</ScaleCrop>
  <LinksUpToDate>false</LinksUpToDate>
  <CharactersWithSpaces>5947</CharactersWithSpaces>
  <Application>WPS Office_11.8.2.12055_F1E327BC-269C-435d-A152-05C5408002CA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2021-01-08T07:48:00Z</dcterms:created>
  <dc:creator>杨伟鸳</dc:creator>
  <cp:lastModifiedBy>黄汉森</cp:lastModifiedBy>
  <cp:lastPrinted>2021-01-18T07:56:00Z</cp:lastPrinted>
  <dcterms:modified xsi:type="dcterms:W3CDTF">2023-08-08T07:31:11Z</dcterms:modified>
  <cp:revision>1</cp:revision>
</cp:core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1BEE36F621A24BD193770D3F9BDD2D02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BA1A0C-F7E7-4D6F-9E71-64AB183ABF4D}">
  <ds:schemaRefs/>
</ds:datastoreItem>
</file>

<file path=customXml/itemProps3.xml><?xml version="1.0" encoding="utf-8"?>
<ds:datastoreItem xmlns:ds="http://schemas.openxmlformats.org/officeDocument/2006/customXml" ds:itemID="{C6A4859E-1CC6-4B3A-B323-F855A723AE35}">
  <ds:schemaRefs/>
</ds:datastoreItem>
</file>

<file path=customXml/itemProps4.xml><?xml version="1.0" encoding="utf-8"?>
<ds:datastoreItem xmlns:ds="http://schemas.openxmlformats.org/officeDocument/2006/customXml" ds:itemID="{D4533DFC-CD48-4BF5-9C39-EBDE73C6F4F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5752</Words>
  <Characters>5888</Characters>
  <Lines>213</Lines>
  <Paragraphs>177</Paragraphs>
  <TotalTime>1</TotalTime>
  <ScaleCrop>false</ScaleCrop>
  <LinksUpToDate>false</LinksUpToDate>
  <CharactersWithSpaces>5923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2021-01-08T07:48:00Z</dcterms:created>
  <dc:creator>杨伟鸳</dc:creator>
  <cp:lastModifiedBy>huangting0429</cp:lastModifiedBy>
  <cp:lastPrinted>2025-10-24T06:57:00Z</cp:lastPrinted>
  <dcterms:modified xsi:type="dcterms:W3CDTF">2025-12-23T01:11:25Z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30BE40474E02496CABB76F6FEEB7A09F_13</vt:lpwstr>
  </property>
</Properties>
</file>